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4A" w:rsidRPr="00EB3B88" w:rsidRDefault="00492A7E" w:rsidP="00EB3B88">
      <w:pPr>
        <w:pStyle w:val="NoSpacing"/>
        <w:jc w:val="center"/>
        <w:rPr>
          <w:b/>
          <w:sz w:val="24"/>
          <w:szCs w:val="24"/>
        </w:rPr>
      </w:pPr>
      <w:r w:rsidRPr="00492A7E">
        <w:rPr>
          <w:sz w:val="24"/>
          <w:szCs w:val="24"/>
        </w:rPr>
        <w:t>TESS 1</w:t>
      </w:r>
      <w:r w:rsidR="00F36649">
        <w:rPr>
          <w:sz w:val="24"/>
          <w:szCs w:val="24"/>
        </w:rPr>
        <w:t>0</w:t>
      </w:r>
      <w:r w:rsidRPr="00492A7E">
        <w:rPr>
          <w:sz w:val="24"/>
          <w:szCs w:val="24"/>
        </w:rPr>
        <w:t xml:space="preserve"> - </w:t>
      </w:r>
      <w:r w:rsidR="00EB3B88" w:rsidRPr="00EB3B88">
        <w:rPr>
          <w:b/>
          <w:sz w:val="24"/>
          <w:szCs w:val="24"/>
        </w:rPr>
        <w:t>C</w:t>
      </w:r>
      <w:r w:rsidR="00EB3B88">
        <w:rPr>
          <w:b/>
          <w:sz w:val="24"/>
          <w:szCs w:val="24"/>
        </w:rPr>
        <w:t>orrelación “</w:t>
      </w:r>
      <w:r w:rsidR="00EB3B88" w:rsidRPr="00EB3B88">
        <w:rPr>
          <w:b/>
          <w:sz w:val="24"/>
          <w:szCs w:val="24"/>
        </w:rPr>
        <w:t>CRUZADA</w:t>
      </w:r>
      <w:r w:rsidR="00EB3B88">
        <w:rPr>
          <w:b/>
          <w:sz w:val="24"/>
          <w:szCs w:val="24"/>
        </w:rPr>
        <w:t>”</w:t>
      </w:r>
      <w:r w:rsidR="00EB3B88" w:rsidRPr="00EB3B88">
        <w:rPr>
          <w:b/>
          <w:sz w:val="24"/>
          <w:szCs w:val="24"/>
        </w:rPr>
        <w:t xml:space="preserve"> </w:t>
      </w:r>
      <w:r w:rsidR="00EB3B88">
        <w:rPr>
          <w:b/>
          <w:sz w:val="24"/>
          <w:szCs w:val="24"/>
        </w:rPr>
        <w:t>del</w:t>
      </w:r>
      <w:r w:rsidR="00EB3B88" w:rsidRPr="00EB3B88">
        <w:rPr>
          <w:b/>
          <w:sz w:val="24"/>
          <w:szCs w:val="24"/>
        </w:rPr>
        <w:t xml:space="preserve"> I</w:t>
      </w:r>
      <w:r w:rsidR="00EB3B88">
        <w:rPr>
          <w:b/>
          <w:sz w:val="24"/>
          <w:szCs w:val="24"/>
        </w:rPr>
        <w:t>ntercambio</w:t>
      </w:r>
    </w:p>
    <w:p w:rsidR="00EB3B88" w:rsidRPr="00EB3B88" w:rsidRDefault="00EB3B88" w:rsidP="00EB3B88">
      <w:pPr>
        <w:pStyle w:val="NoSpacing"/>
        <w:jc w:val="center"/>
        <w:rPr>
          <w:b/>
          <w:sz w:val="24"/>
          <w:szCs w:val="24"/>
        </w:rPr>
      </w:pPr>
    </w:p>
    <w:p w:rsidR="00EB3B88" w:rsidRPr="00EB3B88" w:rsidRDefault="00EB3B88" w:rsidP="00EB3B88">
      <w:pPr>
        <w:pStyle w:val="NoSpacing"/>
        <w:jc w:val="center"/>
        <w:rPr>
          <w:sz w:val="24"/>
          <w:szCs w:val="24"/>
        </w:rPr>
      </w:pPr>
      <w:r w:rsidRPr="00EB3B88">
        <w:rPr>
          <w:b/>
          <w:sz w:val="24"/>
          <w:szCs w:val="24"/>
        </w:rPr>
        <w:t xml:space="preserve">Valor </w:t>
      </w:r>
      <w:r w:rsidRPr="00EB3B88">
        <w:rPr>
          <w:rFonts w:cstheme="minorHAnsi"/>
          <w:b/>
          <w:sz w:val="24"/>
          <w:szCs w:val="24"/>
        </w:rPr>
        <w:t>↔</w:t>
      </w:r>
      <w:r w:rsidRPr="00EB3B88">
        <w:rPr>
          <w:b/>
          <w:sz w:val="24"/>
          <w:szCs w:val="24"/>
        </w:rPr>
        <w:t xml:space="preserve"> cantidad</w:t>
      </w:r>
    </w:p>
    <w:p w:rsidR="00EB3B88" w:rsidRDefault="00EB3B88" w:rsidP="00EB3B88">
      <w:pPr>
        <w:pStyle w:val="NoSpacing"/>
        <w:jc w:val="both"/>
        <w:rPr>
          <w:sz w:val="24"/>
          <w:szCs w:val="24"/>
        </w:rPr>
      </w:pPr>
    </w:p>
    <w:p w:rsidR="00EB3B88" w:rsidRDefault="00EB3B88" w:rsidP="00EB3B88">
      <w:pPr>
        <w:pStyle w:val="NoSpacing"/>
        <w:ind w:firstLine="284"/>
        <w:jc w:val="both"/>
        <w:rPr>
          <w:sz w:val="24"/>
          <w:szCs w:val="24"/>
        </w:rPr>
      </w:pPr>
      <w:r>
        <w:rPr>
          <w:sz w:val="24"/>
          <w:szCs w:val="24"/>
        </w:rPr>
        <w:t xml:space="preserve">Conforme la </w:t>
      </w:r>
      <w:hyperlink r:id="rId7" w:history="1">
        <w:r w:rsidR="00DC084F" w:rsidRPr="00C57A80">
          <w:rPr>
            <w:rStyle w:val="Hyperlink"/>
            <w:rFonts w:ascii="Times New Roman" w:hAnsi="Times New Roman" w:cs="Times New Roman"/>
            <w:i/>
            <w:sz w:val="24"/>
            <w:szCs w:val="24"/>
          </w:rPr>
          <w:t>Teoría Económica Subjetiva Solidaria</w:t>
        </w:r>
      </w:hyperlink>
      <w:r w:rsidR="00DC084F">
        <w:rPr>
          <w:sz w:val="24"/>
          <w:szCs w:val="24"/>
        </w:rPr>
        <w:t xml:space="preserve"> </w:t>
      </w:r>
      <w:r>
        <w:rPr>
          <w:sz w:val="24"/>
          <w:szCs w:val="24"/>
        </w:rPr>
        <w:t xml:space="preserve">(TESS), el cruce de las utilidades marginales de dos bienes económicos determina el acto del intercambio. Dicho cruce está determinado por los valores relativos entre ambos bienes, momento en el que surgen las cantidades intercambiadas de ambos, </w:t>
      </w:r>
      <w:r w:rsidR="000D3570">
        <w:rPr>
          <w:sz w:val="24"/>
          <w:szCs w:val="24"/>
        </w:rPr>
        <w:t xml:space="preserve">origen </w:t>
      </w:r>
      <w:r>
        <w:rPr>
          <w:sz w:val="24"/>
          <w:szCs w:val="24"/>
        </w:rPr>
        <w:t>de los dos coeficientes precio.</w:t>
      </w:r>
    </w:p>
    <w:p w:rsidR="00EB3B88" w:rsidRDefault="00EB3B88" w:rsidP="00EB3B88">
      <w:pPr>
        <w:pStyle w:val="NoSpacing"/>
        <w:ind w:firstLine="284"/>
        <w:jc w:val="both"/>
        <w:rPr>
          <w:sz w:val="24"/>
          <w:szCs w:val="24"/>
        </w:rPr>
      </w:pPr>
      <w:r>
        <w:rPr>
          <w:sz w:val="24"/>
          <w:szCs w:val="24"/>
        </w:rPr>
        <w:t>Lo que nos interesa en este trabajo es destacar la correlación positiva que existe entre el valor relativo de un bien económico [</w:t>
      </w:r>
      <w:r w:rsidRPr="00EB3B88">
        <w:rPr>
          <w:b/>
          <w:i/>
          <w:sz w:val="24"/>
          <w:szCs w:val="24"/>
        </w:rPr>
        <w:t>v</w:t>
      </w:r>
      <w:r w:rsidRPr="00EB3B88">
        <w:rPr>
          <w:b/>
          <w:i/>
          <w:sz w:val="24"/>
          <w:szCs w:val="24"/>
          <w:vertAlign w:val="subscript"/>
        </w:rPr>
        <w:t>x(y)</w:t>
      </w:r>
      <w:r>
        <w:rPr>
          <w:rFonts w:cstheme="minorHAnsi"/>
          <w:sz w:val="24"/>
          <w:szCs w:val="24"/>
        </w:rPr>
        <w:t xml:space="preserve">] </w:t>
      </w:r>
      <w:r>
        <w:rPr>
          <w:sz w:val="24"/>
          <w:szCs w:val="24"/>
        </w:rPr>
        <w:t>y las cantidades intercambiadas del otro (</w:t>
      </w:r>
      <w:r w:rsidRPr="00EB3B88">
        <w:rPr>
          <w:b/>
          <w:i/>
          <w:sz w:val="24"/>
          <w:szCs w:val="24"/>
        </w:rPr>
        <w:t>y</w:t>
      </w:r>
      <w:r w:rsidRPr="00EB3B88">
        <w:rPr>
          <w:b/>
          <w:i/>
          <w:sz w:val="24"/>
          <w:szCs w:val="24"/>
          <w:vertAlign w:val="subscript"/>
        </w:rPr>
        <w:t>i</w:t>
      </w:r>
      <w:r>
        <w:rPr>
          <w:sz w:val="24"/>
          <w:szCs w:val="24"/>
        </w:rPr>
        <w:t>). Al efecto construimos el siguiente gráfico, siguiendo el modelo de “caja cerrada” de la TESS:</w:t>
      </w:r>
      <w:r w:rsidR="008E4DAF">
        <w:rPr>
          <w:sz w:val="24"/>
          <w:szCs w:val="24"/>
        </w:rPr>
        <w:t xml:space="preserve"> </w:t>
      </w:r>
      <w:r w:rsidR="008E4DAF" w:rsidRPr="008E4DAF">
        <w:rPr>
          <w:rStyle w:val="FootnoteReference"/>
          <w:b/>
          <w:sz w:val="24"/>
          <w:szCs w:val="24"/>
        </w:rPr>
        <w:footnoteReference w:id="1"/>
      </w:r>
    </w:p>
    <w:p w:rsidR="00EB3B88" w:rsidRDefault="00EB3B88" w:rsidP="00EB3B88">
      <w:pPr>
        <w:pStyle w:val="NoSpacing"/>
        <w:jc w:val="both"/>
        <w:rPr>
          <w:sz w:val="24"/>
          <w:szCs w:val="24"/>
        </w:rPr>
      </w:pPr>
    </w:p>
    <w:p w:rsidR="00EB3B88" w:rsidRPr="00EB3B88" w:rsidRDefault="00EB3B88" w:rsidP="00EB3B88">
      <w:pPr>
        <w:pStyle w:val="NoSpacing"/>
        <w:jc w:val="center"/>
        <w:rPr>
          <w:b/>
          <w:sz w:val="24"/>
          <w:szCs w:val="24"/>
        </w:rPr>
      </w:pPr>
      <w:r w:rsidRPr="00EB3B88">
        <w:rPr>
          <w:b/>
          <w:sz w:val="24"/>
          <w:szCs w:val="24"/>
        </w:rPr>
        <w:t xml:space="preserve">Correlación </w:t>
      </w:r>
      <w:r w:rsidR="0094183E">
        <w:rPr>
          <w:b/>
          <w:sz w:val="24"/>
          <w:szCs w:val="24"/>
        </w:rPr>
        <w:t xml:space="preserve">“cruzada” </w:t>
      </w:r>
      <w:r w:rsidRPr="00EB3B88">
        <w:rPr>
          <w:b/>
          <w:sz w:val="24"/>
          <w:szCs w:val="24"/>
        </w:rPr>
        <w:t>del Intercambio</w:t>
      </w:r>
    </w:p>
    <w:p w:rsidR="00EB3B88" w:rsidRPr="00EB3B88" w:rsidRDefault="00EB3B88" w:rsidP="00EB3B88">
      <w:pPr>
        <w:pStyle w:val="NoSpacing"/>
        <w:jc w:val="both"/>
        <w:rPr>
          <w:sz w:val="24"/>
          <w:szCs w:val="24"/>
        </w:rPr>
      </w:pPr>
    </w:p>
    <w:p w:rsidR="00EB3B88" w:rsidRPr="00EB3B88" w:rsidRDefault="001D0E1F" w:rsidP="00EB3B88">
      <w:pPr>
        <w:pStyle w:val="NoSpacing"/>
        <w:jc w:val="center"/>
        <w:rPr>
          <w:sz w:val="24"/>
          <w:szCs w:val="24"/>
        </w:rPr>
      </w:pPr>
      <w:r>
        <w:rPr>
          <w:noProof/>
          <w:lang w:val="en-US"/>
        </w:rPr>
        <w:drawing>
          <wp:inline distT="0" distB="0" distL="0" distR="0">
            <wp:extent cx="3761607" cy="3934953"/>
            <wp:effectExtent l="0" t="0" r="0" b="8890"/>
            <wp:docPr id="1" name="Imagen 1" descr="E:\Box Sync\000 Graficos Pa\2018\2018 09 24 Graficos nuevos\GRAFICOS PNG\26 arreglado 5.5 x 4.5 2019 04 02.png"/>
            <wp:cNvGraphicFramePr/>
            <a:graphic xmlns:a="http://schemas.openxmlformats.org/drawingml/2006/main">
              <a:graphicData uri="http://schemas.openxmlformats.org/drawingml/2006/picture">
                <pic:pic xmlns:pic="http://schemas.openxmlformats.org/drawingml/2006/picture">
                  <pic:nvPicPr>
                    <pic:cNvPr id="1" name="Imagen 1" descr="E:\Box Sync\000 Graficos Pa\2018\2018 09 24 Graficos nuevos\GRAFICOS PNG\26 arreglado 5.5 x 4.5 2019 04 0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268" cy="3935644"/>
                    </a:xfrm>
                    <a:prstGeom prst="rect">
                      <a:avLst/>
                    </a:prstGeom>
                    <a:noFill/>
                    <a:ln>
                      <a:noFill/>
                    </a:ln>
                  </pic:spPr>
                </pic:pic>
              </a:graphicData>
            </a:graphic>
          </wp:inline>
        </w:drawing>
      </w:r>
    </w:p>
    <w:p w:rsidR="00EB3B88" w:rsidRPr="00EB3B88" w:rsidRDefault="00EB3B88" w:rsidP="00EB3B88">
      <w:pPr>
        <w:pStyle w:val="NoSpacing"/>
        <w:jc w:val="both"/>
        <w:rPr>
          <w:sz w:val="24"/>
          <w:szCs w:val="24"/>
        </w:rPr>
      </w:pPr>
    </w:p>
    <w:p w:rsidR="00EB3B88" w:rsidRDefault="00EB3B88" w:rsidP="00EB3B88">
      <w:pPr>
        <w:pStyle w:val="NoSpacing"/>
        <w:ind w:firstLine="284"/>
        <w:jc w:val="both"/>
        <w:rPr>
          <w:sz w:val="24"/>
          <w:szCs w:val="24"/>
        </w:rPr>
      </w:pPr>
    </w:p>
    <w:p w:rsidR="007314BD" w:rsidRDefault="00EB3B88" w:rsidP="00EB3B88">
      <w:pPr>
        <w:pStyle w:val="NoSpacing"/>
        <w:ind w:firstLine="284"/>
        <w:jc w:val="both"/>
        <w:rPr>
          <w:sz w:val="24"/>
          <w:szCs w:val="24"/>
        </w:rPr>
      </w:pPr>
      <w:r>
        <w:rPr>
          <w:sz w:val="24"/>
          <w:szCs w:val="24"/>
        </w:rPr>
        <w:t>Conforme el modelo de “caja cerrada”</w:t>
      </w:r>
      <w:r w:rsidR="000D3570">
        <w:rPr>
          <w:sz w:val="24"/>
          <w:szCs w:val="24"/>
        </w:rPr>
        <w:t>,</w:t>
      </w:r>
      <w:r>
        <w:rPr>
          <w:sz w:val="24"/>
          <w:szCs w:val="24"/>
        </w:rPr>
        <w:t xml:space="preserve"> que enfrenta </w:t>
      </w:r>
      <w:r w:rsidR="007314BD">
        <w:rPr>
          <w:sz w:val="24"/>
          <w:szCs w:val="24"/>
        </w:rPr>
        <w:t xml:space="preserve">las </w:t>
      </w:r>
      <w:r>
        <w:rPr>
          <w:sz w:val="24"/>
          <w:szCs w:val="24"/>
        </w:rPr>
        <w:t>curvas de utilidades marginales decrecientes de dos bienes económicos (</w:t>
      </w:r>
      <w:r w:rsidR="007314BD" w:rsidRPr="007314BD">
        <w:rPr>
          <w:b/>
          <w:i/>
          <w:sz w:val="24"/>
          <w:szCs w:val="24"/>
        </w:rPr>
        <w:t>U</w:t>
      </w:r>
      <w:r w:rsidRPr="007314BD">
        <w:rPr>
          <w:b/>
          <w:i/>
          <w:sz w:val="24"/>
          <w:szCs w:val="24"/>
          <w:vertAlign w:val="subscript"/>
        </w:rPr>
        <w:t>q</w:t>
      </w:r>
      <w:r>
        <w:rPr>
          <w:sz w:val="24"/>
          <w:szCs w:val="24"/>
        </w:rPr>
        <w:t xml:space="preserve"> y </w:t>
      </w:r>
      <w:r w:rsidR="007314BD" w:rsidRPr="007314BD">
        <w:rPr>
          <w:b/>
          <w:i/>
          <w:sz w:val="24"/>
          <w:szCs w:val="24"/>
        </w:rPr>
        <w:t>U</w:t>
      </w:r>
      <w:r w:rsidRPr="007314BD">
        <w:rPr>
          <w:b/>
          <w:i/>
          <w:sz w:val="24"/>
          <w:szCs w:val="24"/>
          <w:vertAlign w:val="subscript"/>
        </w:rPr>
        <w:t>$</w:t>
      </w:r>
      <w:r>
        <w:rPr>
          <w:sz w:val="24"/>
          <w:szCs w:val="24"/>
        </w:rPr>
        <w:t>)</w:t>
      </w:r>
      <w:r w:rsidR="007314BD">
        <w:rPr>
          <w:sz w:val="24"/>
          <w:szCs w:val="24"/>
        </w:rPr>
        <w:t xml:space="preserve">, partimos de la posición inicial </w:t>
      </w:r>
      <w:r w:rsidR="007314BD" w:rsidRPr="007314BD">
        <w:rPr>
          <w:b/>
          <w:i/>
          <w:sz w:val="24"/>
          <w:szCs w:val="24"/>
        </w:rPr>
        <w:t>0</w:t>
      </w:r>
      <w:r w:rsidR="007314BD">
        <w:rPr>
          <w:sz w:val="24"/>
          <w:szCs w:val="24"/>
        </w:rPr>
        <w:t xml:space="preserve">, que determina </w:t>
      </w:r>
      <w:r w:rsidR="007314BD" w:rsidRPr="007314BD">
        <w:rPr>
          <w:b/>
          <w:sz w:val="24"/>
          <w:szCs w:val="24"/>
        </w:rPr>
        <w:t>I</w:t>
      </w:r>
      <w:r w:rsidR="007314BD" w:rsidRPr="007314BD">
        <w:rPr>
          <w:b/>
          <w:sz w:val="24"/>
          <w:szCs w:val="24"/>
          <w:vertAlign w:val="superscript"/>
        </w:rPr>
        <w:t>0</w:t>
      </w:r>
      <w:r w:rsidR="007314BD">
        <w:rPr>
          <w:sz w:val="24"/>
          <w:szCs w:val="24"/>
        </w:rPr>
        <w:t xml:space="preserve">, donde se cruzan las curvas de trazo continuo, </w:t>
      </w:r>
      <w:r w:rsidR="000D3570">
        <w:rPr>
          <w:sz w:val="24"/>
          <w:szCs w:val="24"/>
        </w:rPr>
        <w:t>y</w:t>
      </w:r>
      <w:r w:rsidR="007314BD">
        <w:rPr>
          <w:sz w:val="24"/>
          <w:szCs w:val="24"/>
        </w:rPr>
        <w:t xml:space="preserve"> deducimos: </w:t>
      </w:r>
      <w:r w:rsidR="007314BD" w:rsidRPr="007314BD">
        <w:rPr>
          <w:rStyle w:val="FootnoteReference"/>
          <w:b/>
          <w:sz w:val="24"/>
          <w:szCs w:val="24"/>
        </w:rPr>
        <w:footnoteReference w:id="2"/>
      </w:r>
    </w:p>
    <w:p w:rsidR="007314BD" w:rsidRDefault="007314BD" w:rsidP="00EB3B88">
      <w:pPr>
        <w:pStyle w:val="NoSpacing"/>
        <w:ind w:firstLine="284"/>
        <w:jc w:val="both"/>
        <w:rPr>
          <w:sz w:val="24"/>
          <w:szCs w:val="24"/>
        </w:rPr>
      </w:pPr>
    </w:p>
    <w:p w:rsidR="00447C83" w:rsidRPr="00447C83" w:rsidRDefault="007314BD" w:rsidP="003A251F">
      <w:pPr>
        <w:pStyle w:val="NoSpacing"/>
        <w:jc w:val="center"/>
        <w:rPr>
          <w:sz w:val="20"/>
          <w:szCs w:val="20"/>
        </w:rPr>
      </w:pPr>
      <w:r w:rsidRPr="00447C83">
        <w:rPr>
          <w:b/>
          <w:i/>
          <w:sz w:val="20"/>
          <w:szCs w:val="20"/>
        </w:rPr>
        <w:t>U</w:t>
      </w:r>
      <w:r w:rsidRPr="00447C83">
        <w:rPr>
          <w:b/>
          <w:i/>
          <w:sz w:val="20"/>
          <w:szCs w:val="20"/>
          <w:vertAlign w:val="subscript"/>
        </w:rPr>
        <w:t>$0</w:t>
      </w:r>
      <w:r w:rsidRPr="00447C83">
        <w:rPr>
          <w:sz w:val="20"/>
          <w:szCs w:val="20"/>
        </w:rPr>
        <w:t xml:space="preserve"> = 1,875; </w:t>
      </w:r>
      <w:r w:rsidRPr="00447C83">
        <w:rPr>
          <w:b/>
          <w:i/>
          <w:sz w:val="20"/>
          <w:szCs w:val="20"/>
        </w:rPr>
        <w:t>U</w:t>
      </w:r>
      <w:r w:rsidR="003A251F" w:rsidRPr="00447C83">
        <w:rPr>
          <w:b/>
          <w:i/>
          <w:sz w:val="20"/>
          <w:szCs w:val="20"/>
          <w:vertAlign w:val="subscript"/>
        </w:rPr>
        <w:t>q</w:t>
      </w:r>
      <w:r w:rsidRPr="00447C83">
        <w:rPr>
          <w:b/>
          <w:i/>
          <w:sz w:val="20"/>
          <w:szCs w:val="20"/>
          <w:vertAlign w:val="subscript"/>
        </w:rPr>
        <w:t>0</w:t>
      </w:r>
      <w:r w:rsidRPr="00447C83">
        <w:rPr>
          <w:sz w:val="20"/>
          <w:szCs w:val="20"/>
        </w:rPr>
        <w:t xml:space="preserve"> = 1,786; </w:t>
      </w:r>
      <w:r w:rsidRPr="00447C83">
        <w:rPr>
          <w:b/>
          <w:i/>
          <w:sz w:val="20"/>
          <w:szCs w:val="20"/>
        </w:rPr>
        <w:t>q</w:t>
      </w:r>
      <w:r w:rsidRPr="00447C83">
        <w:rPr>
          <w:b/>
          <w:i/>
          <w:sz w:val="20"/>
          <w:szCs w:val="20"/>
          <w:vertAlign w:val="subscript"/>
        </w:rPr>
        <w:t>i0</w:t>
      </w:r>
      <w:r w:rsidRPr="00447C83">
        <w:rPr>
          <w:b/>
          <w:i/>
          <w:sz w:val="20"/>
          <w:szCs w:val="20"/>
        </w:rPr>
        <w:t xml:space="preserve"> </w:t>
      </w:r>
      <w:r w:rsidRPr="00447C83">
        <w:rPr>
          <w:sz w:val="20"/>
          <w:szCs w:val="20"/>
        </w:rPr>
        <w:t>= 5,6</w:t>
      </w:r>
      <w:r w:rsidRPr="00447C83">
        <w:rPr>
          <w:b/>
          <w:i/>
          <w:sz w:val="20"/>
          <w:szCs w:val="20"/>
        </w:rPr>
        <w:t>q</w:t>
      </w:r>
      <w:r w:rsidR="000D3570" w:rsidRPr="00447C83">
        <w:rPr>
          <w:b/>
          <w:i/>
          <w:sz w:val="20"/>
          <w:szCs w:val="20"/>
          <w:vertAlign w:val="subscript"/>
        </w:rPr>
        <w:t>0</w:t>
      </w:r>
      <w:r w:rsidRPr="00447C83">
        <w:rPr>
          <w:sz w:val="20"/>
          <w:szCs w:val="20"/>
        </w:rPr>
        <w:t xml:space="preserve">; </w:t>
      </w:r>
      <w:r w:rsidRPr="00447C83">
        <w:rPr>
          <w:b/>
          <w:i/>
          <w:sz w:val="20"/>
          <w:szCs w:val="20"/>
        </w:rPr>
        <w:t>$</w:t>
      </w:r>
      <w:r w:rsidRPr="00447C83">
        <w:rPr>
          <w:b/>
          <w:i/>
          <w:sz w:val="20"/>
          <w:szCs w:val="20"/>
          <w:vertAlign w:val="subscript"/>
        </w:rPr>
        <w:t>i0</w:t>
      </w:r>
      <w:r w:rsidRPr="00447C83">
        <w:rPr>
          <w:b/>
          <w:i/>
          <w:sz w:val="20"/>
          <w:szCs w:val="20"/>
        </w:rPr>
        <w:t xml:space="preserve"> </w:t>
      </w:r>
      <w:r w:rsidRPr="00447C83">
        <w:rPr>
          <w:sz w:val="20"/>
          <w:szCs w:val="20"/>
        </w:rPr>
        <w:t>= 6,4</w:t>
      </w:r>
      <w:r w:rsidRPr="00447C83">
        <w:rPr>
          <w:b/>
          <w:i/>
          <w:sz w:val="20"/>
          <w:szCs w:val="20"/>
        </w:rPr>
        <w:t>$</w:t>
      </w:r>
      <w:r w:rsidR="000D3570" w:rsidRPr="00447C83">
        <w:rPr>
          <w:b/>
          <w:i/>
          <w:sz w:val="20"/>
          <w:szCs w:val="20"/>
          <w:vertAlign w:val="subscript"/>
        </w:rPr>
        <w:t>0</w:t>
      </w:r>
      <w:r w:rsidRPr="00447C83">
        <w:rPr>
          <w:sz w:val="20"/>
          <w:szCs w:val="20"/>
        </w:rPr>
        <w:t xml:space="preserve">; </w:t>
      </w:r>
      <w:r w:rsidRPr="00447C83">
        <w:rPr>
          <w:b/>
          <w:i/>
          <w:sz w:val="20"/>
          <w:szCs w:val="20"/>
        </w:rPr>
        <w:t>v</w:t>
      </w:r>
      <w:r w:rsidRPr="00447C83">
        <w:rPr>
          <w:b/>
          <w:i/>
          <w:sz w:val="20"/>
          <w:szCs w:val="20"/>
          <w:vertAlign w:val="subscript"/>
        </w:rPr>
        <w:t>$(q)</w:t>
      </w:r>
      <w:r w:rsidR="0069264A" w:rsidRPr="00447C83">
        <w:rPr>
          <w:b/>
          <w:i/>
          <w:sz w:val="20"/>
          <w:szCs w:val="20"/>
          <w:vertAlign w:val="subscript"/>
        </w:rPr>
        <w:t>0</w:t>
      </w:r>
      <w:r w:rsidRPr="00447C83">
        <w:rPr>
          <w:b/>
          <w:i/>
          <w:sz w:val="20"/>
          <w:szCs w:val="20"/>
        </w:rPr>
        <w:t xml:space="preserve"> </w:t>
      </w:r>
      <w:r w:rsidRPr="00447C83">
        <w:rPr>
          <w:sz w:val="20"/>
          <w:szCs w:val="20"/>
        </w:rPr>
        <w:t xml:space="preserve">= 1,05; </w:t>
      </w:r>
      <w:r w:rsidRPr="00447C83">
        <w:rPr>
          <w:b/>
          <w:i/>
          <w:sz w:val="20"/>
          <w:szCs w:val="20"/>
        </w:rPr>
        <w:t>v</w:t>
      </w:r>
      <w:r w:rsidRPr="00447C83">
        <w:rPr>
          <w:b/>
          <w:i/>
          <w:sz w:val="20"/>
          <w:szCs w:val="20"/>
          <w:vertAlign w:val="subscript"/>
        </w:rPr>
        <w:t>q($)</w:t>
      </w:r>
      <w:r w:rsidR="0069264A" w:rsidRPr="00447C83">
        <w:rPr>
          <w:b/>
          <w:i/>
          <w:sz w:val="20"/>
          <w:szCs w:val="20"/>
          <w:vertAlign w:val="subscript"/>
        </w:rPr>
        <w:t>0</w:t>
      </w:r>
      <w:r w:rsidRPr="00447C83">
        <w:rPr>
          <w:b/>
          <w:i/>
          <w:sz w:val="20"/>
          <w:szCs w:val="20"/>
        </w:rPr>
        <w:t xml:space="preserve"> </w:t>
      </w:r>
      <w:r w:rsidRPr="00447C83">
        <w:rPr>
          <w:sz w:val="20"/>
          <w:szCs w:val="20"/>
        </w:rPr>
        <w:t xml:space="preserve">= 0,952; </w:t>
      </w:r>
      <w:r w:rsidRPr="00447C83">
        <w:rPr>
          <w:b/>
          <w:i/>
          <w:sz w:val="20"/>
          <w:szCs w:val="20"/>
        </w:rPr>
        <w:t>P</w:t>
      </w:r>
      <w:r w:rsidRPr="00447C83">
        <w:rPr>
          <w:b/>
          <w:i/>
          <w:sz w:val="20"/>
          <w:szCs w:val="20"/>
          <w:vertAlign w:val="subscript"/>
        </w:rPr>
        <w:t>$(q)</w:t>
      </w:r>
      <w:r w:rsidR="0069264A" w:rsidRPr="00447C83">
        <w:rPr>
          <w:b/>
          <w:i/>
          <w:sz w:val="20"/>
          <w:szCs w:val="20"/>
          <w:vertAlign w:val="subscript"/>
        </w:rPr>
        <w:t>0</w:t>
      </w:r>
      <w:r w:rsidRPr="00447C83">
        <w:rPr>
          <w:b/>
          <w:i/>
          <w:sz w:val="20"/>
          <w:szCs w:val="20"/>
        </w:rPr>
        <w:t xml:space="preserve"> </w:t>
      </w:r>
      <w:r w:rsidRPr="00447C83">
        <w:rPr>
          <w:sz w:val="20"/>
          <w:szCs w:val="20"/>
        </w:rPr>
        <w:t>= 0,875</w:t>
      </w:r>
      <w:r w:rsidR="003A251F" w:rsidRPr="00447C83">
        <w:rPr>
          <w:b/>
          <w:i/>
          <w:sz w:val="20"/>
          <w:szCs w:val="20"/>
        </w:rPr>
        <w:t>q</w:t>
      </w:r>
      <w:r w:rsidR="0069264A" w:rsidRPr="00447C83">
        <w:rPr>
          <w:b/>
          <w:i/>
          <w:sz w:val="20"/>
          <w:szCs w:val="20"/>
          <w:vertAlign w:val="subscript"/>
        </w:rPr>
        <w:t>0</w:t>
      </w:r>
      <w:r w:rsidRPr="00447C83">
        <w:rPr>
          <w:sz w:val="20"/>
          <w:szCs w:val="20"/>
        </w:rPr>
        <w:t xml:space="preserve">; </w:t>
      </w:r>
      <w:r w:rsidRPr="00447C83">
        <w:rPr>
          <w:b/>
          <w:i/>
          <w:sz w:val="20"/>
          <w:szCs w:val="20"/>
        </w:rPr>
        <w:t>P</w:t>
      </w:r>
      <w:r w:rsidRPr="00447C83">
        <w:rPr>
          <w:b/>
          <w:i/>
          <w:sz w:val="20"/>
          <w:szCs w:val="20"/>
          <w:vertAlign w:val="subscript"/>
        </w:rPr>
        <w:t>q($)</w:t>
      </w:r>
      <w:r w:rsidRPr="00447C83">
        <w:rPr>
          <w:b/>
          <w:i/>
          <w:sz w:val="20"/>
          <w:szCs w:val="20"/>
        </w:rPr>
        <w:t xml:space="preserve"> </w:t>
      </w:r>
      <w:r w:rsidRPr="00447C83">
        <w:rPr>
          <w:sz w:val="20"/>
          <w:szCs w:val="20"/>
        </w:rPr>
        <w:t xml:space="preserve">= </w:t>
      </w:r>
    </w:p>
    <w:p w:rsidR="007314BD" w:rsidRPr="00447C83" w:rsidRDefault="007314BD" w:rsidP="003A251F">
      <w:pPr>
        <w:pStyle w:val="NoSpacing"/>
        <w:jc w:val="center"/>
        <w:rPr>
          <w:sz w:val="20"/>
          <w:szCs w:val="20"/>
        </w:rPr>
      </w:pPr>
      <w:r w:rsidRPr="00447C83">
        <w:rPr>
          <w:sz w:val="20"/>
          <w:szCs w:val="20"/>
        </w:rPr>
        <w:t>1,14</w:t>
      </w:r>
      <w:r w:rsidR="001D219F">
        <w:rPr>
          <w:sz w:val="20"/>
          <w:szCs w:val="20"/>
        </w:rPr>
        <w:t>3</w:t>
      </w:r>
      <w:r w:rsidR="003A251F" w:rsidRPr="00447C83">
        <w:rPr>
          <w:b/>
          <w:i/>
          <w:sz w:val="20"/>
          <w:szCs w:val="20"/>
        </w:rPr>
        <w:t>$</w:t>
      </w:r>
      <w:r w:rsidR="0069264A" w:rsidRPr="00447C83">
        <w:rPr>
          <w:b/>
          <w:i/>
          <w:sz w:val="20"/>
          <w:szCs w:val="20"/>
          <w:vertAlign w:val="subscript"/>
        </w:rPr>
        <w:t>0</w:t>
      </w:r>
    </w:p>
    <w:p w:rsidR="003A251F" w:rsidRDefault="007314BD" w:rsidP="007314BD">
      <w:pPr>
        <w:pStyle w:val="NoSpacing"/>
        <w:ind w:firstLine="284"/>
        <w:jc w:val="both"/>
        <w:rPr>
          <w:sz w:val="24"/>
          <w:szCs w:val="24"/>
        </w:rPr>
      </w:pPr>
      <w:r>
        <w:rPr>
          <w:sz w:val="24"/>
          <w:szCs w:val="24"/>
        </w:rPr>
        <w:lastRenderedPageBreak/>
        <w:t xml:space="preserve">Seguidamente consideramos un aumento del valor relativo del bien económico </w:t>
      </w:r>
      <w:r w:rsidRPr="007314BD">
        <w:rPr>
          <w:b/>
          <w:i/>
          <w:sz w:val="24"/>
          <w:szCs w:val="24"/>
        </w:rPr>
        <w:t>$</w:t>
      </w:r>
      <w:r>
        <w:rPr>
          <w:sz w:val="24"/>
          <w:szCs w:val="24"/>
        </w:rPr>
        <w:t xml:space="preserve"> </w:t>
      </w:r>
      <w:r w:rsidR="003A251F">
        <w:rPr>
          <w:sz w:val="24"/>
          <w:szCs w:val="24"/>
        </w:rPr>
        <w:t>[</w:t>
      </w:r>
      <w:r w:rsidR="003A251F" w:rsidRPr="007314BD">
        <w:rPr>
          <w:b/>
          <w:i/>
          <w:sz w:val="24"/>
          <w:szCs w:val="24"/>
        </w:rPr>
        <w:t>v</w:t>
      </w:r>
      <w:r w:rsidR="003A251F">
        <w:rPr>
          <w:b/>
          <w:i/>
          <w:sz w:val="24"/>
          <w:szCs w:val="24"/>
          <w:vertAlign w:val="subscript"/>
        </w:rPr>
        <w:t>$</w:t>
      </w:r>
      <w:r w:rsidR="003A251F" w:rsidRPr="007314BD">
        <w:rPr>
          <w:b/>
          <w:i/>
          <w:sz w:val="24"/>
          <w:szCs w:val="24"/>
          <w:vertAlign w:val="subscript"/>
        </w:rPr>
        <w:t>(</w:t>
      </w:r>
      <w:r w:rsidR="003A251F">
        <w:rPr>
          <w:b/>
          <w:i/>
          <w:sz w:val="24"/>
          <w:szCs w:val="24"/>
          <w:vertAlign w:val="subscript"/>
        </w:rPr>
        <w:t>q</w:t>
      </w:r>
      <w:r w:rsidR="003A251F" w:rsidRPr="007314BD">
        <w:rPr>
          <w:b/>
          <w:i/>
          <w:sz w:val="24"/>
          <w:szCs w:val="24"/>
          <w:vertAlign w:val="subscript"/>
        </w:rPr>
        <w:t>)</w:t>
      </w:r>
      <w:r w:rsidR="003A251F">
        <w:rPr>
          <w:rFonts w:cstheme="minorHAnsi"/>
          <w:sz w:val="24"/>
          <w:szCs w:val="24"/>
        </w:rPr>
        <w:t>]</w:t>
      </w:r>
      <w:r w:rsidR="008E4DAF">
        <w:rPr>
          <w:rFonts w:cstheme="minorHAnsi"/>
          <w:sz w:val="24"/>
          <w:szCs w:val="24"/>
        </w:rPr>
        <w:t>,</w:t>
      </w:r>
      <w:r>
        <w:rPr>
          <w:sz w:val="24"/>
          <w:szCs w:val="24"/>
        </w:rPr>
        <w:t xml:space="preserve"> lo cual representamos mediante la curva de trazo discontinuo (</w:t>
      </w:r>
      <w:r w:rsidRPr="007314BD">
        <w:rPr>
          <w:b/>
          <w:i/>
          <w:sz w:val="24"/>
          <w:szCs w:val="24"/>
        </w:rPr>
        <w:t>U</w:t>
      </w:r>
      <w:r w:rsidRPr="007314BD">
        <w:rPr>
          <w:b/>
          <w:i/>
          <w:sz w:val="24"/>
          <w:szCs w:val="24"/>
          <w:vertAlign w:val="subscript"/>
        </w:rPr>
        <w:t>$1</w:t>
      </w:r>
      <w:r>
        <w:rPr>
          <w:sz w:val="24"/>
          <w:szCs w:val="24"/>
        </w:rPr>
        <w:t>)</w:t>
      </w:r>
      <w:r w:rsidR="003A251F">
        <w:rPr>
          <w:sz w:val="24"/>
          <w:szCs w:val="24"/>
        </w:rPr>
        <w:t xml:space="preserve">. Dicha curva debemos dibujarla por debajo de su anterior </w:t>
      </w:r>
      <w:r w:rsidR="003A251F" w:rsidRPr="003A251F">
        <w:rPr>
          <w:b/>
          <w:i/>
          <w:sz w:val="24"/>
          <w:szCs w:val="24"/>
        </w:rPr>
        <w:t>U</w:t>
      </w:r>
      <w:r w:rsidR="003A251F" w:rsidRPr="003A251F">
        <w:rPr>
          <w:b/>
          <w:i/>
          <w:sz w:val="24"/>
          <w:szCs w:val="24"/>
          <w:vertAlign w:val="subscript"/>
        </w:rPr>
        <w:t>$0</w:t>
      </w:r>
      <w:r w:rsidR="003A251F">
        <w:rPr>
          <w:sz w:val="24"/>
          <w:szCs w:val="24"/>
        </w:rPr>
        <w:t xml:space="preserve">, circunstancia que </w:t>
      </w:r>
      <w:r w:rsidR="008E4DAF">
        <w:rPr>
          <w:sz w:val="24"/>
          <w:szCs w:val="24"/>
        </w:rPr>
        <w:t xml:space="preserve">nos permite </w:t>
      </w:r>
      <w:r w:rsidR="003A251F">
        <w:rPr>
          <w:sz w:val="24"/>
          <w:szCs w:val="24"/>
        </w:rPr>
        <w:t>apreciar que</w:t>
      </w:r>
      <w:r w:rsidR="00C030CE">
        <w:rPr>
          <w:sz w:val="24"/>
          <w:szCs w:val="24"/>
        </w:rPr>
        <w:t>:</w:t>
      </w:r>
      <w:r w:rsidR="003A251F">
        <w:rPr>
          <w:sz w:val="24"/>
          <w:szCs w:val="24"/>
        </w:rPr>
        <w:t xml:space="preserve"> al </w:t>
      </w:r>
      <w:r w:rsidR="000D3570">
        <w:rPr>
          <w:sz w:val="24"/>
          <w:szCs w:val="24"/>
        </w:rPr>
        <w:t xml:space="preserve">mismo nivel de la </w:t>
      </w:r>
      <w:r w:rsidR="00CE7EAB">
        <w:rPr>
          <w:sz w:val="24"/>
          <w:szCs w:val="24"/>
        </w:rPr>
        <w:t>absci</w:t>
      </w:r>
      <w:r w:rsidR="00C030CE">
        <w:rPr>
          <w:sz w:val="24"/>
          <w:szCs w:val="24"/>
        </w:rPr>
        <w:t>s</w:t>
      </w:r>
      <w:r w:rsidR="00CE7EAB">
        <w:rPr>
          <w:sz w:val="24"/>
          <w:szCs w:val="24"/>
        </w:rPr>
        <w:t>a</w:t>
      </w:r>
      <w:r w:rsidR="000D3570">
        <w:rPr>
          <w:sz w:val="24"/>
          <w:szCs w:val="24"/>
        </w:rPr>
        <w:t xml:space="preserve"> (</w:t>
      </w:r>
      <w:r w:rsidR="000D3570" w:rsidRPr="000D3570">
        <w:rPr>
          <w:b/>
          <w:i/>
          <w:sz w:val="24"/>
          <w:szCs w:val="24"/>
        </w:rPr>
        <w:t>$</w:t>
      </w:r>
      <w:r w:rsidR="000D3570" w:rsidRPr="000D3570">
        <w:rPr>
          <w:b/>
          <w:i/>
          <w:sz w:val="24"/>
          <w:szCs w:val="24"/>
          <w:vertAlign w:val="subscript"/>
        </w:rPr>
        <w:t>0,1</w:t>
      </w:r>
      <w:r w:rsidR="000D3570">
        <w:rPr>
          <w:sz w:val="24"/>
          <w:szCs w:val="24"/>
        </w:rPr>
        <w:t xml:space="preserve">) </w:t>
      </w:r>
      <w:r w:rsidR="003A251F">
        <w:rPr>
          <w:sz w:val="24"/>
          <w:szCs w:val="24"/>
        </w:rPr>
        <w:t xml:space="preserve">ahora le corresponde un mayor nivel de </w:t>
      </w:r>
      <w:r w:rsidR="003A251F" w:rsidRPr="003A251F">
        <w:rPr>
          <w:b/>
          <w:i/>
          <w:sz w:val="24"/>
          <w:szCs w:val="24"/>
        </w:rPr>
        <w:t>U</w:t>
      </w:r>
      <w:r w:rsidR="003A251F" w:rsidRPr="003A251F">
        <w:rPr>
          <w:b/>
          <w:i/>
          <w:sz w:val="24"/>
          <w:szCs w:val="24"/>
          <w:vertAlign w:val="subscript"/>
        </w:rPr>
        <w:t>$1</w:t>
      </w:r>
      <w:r w:rsidR="003A251F">
        <w:rPr>
          <w:sz w:val="24"/>
          <w:szCs w:val="24"/>
        </w:rPr>
        <w:t xml:space="preserve"> </w:t>
      </w:r>
      <w:r w:rsidR="000D3570">
        <w:rPr>
          <w:sz w:val="24"/>
          <w:szCs w:val="24"/>
        </w:rPr>
        <w:t xml:space="preserve">relativo a </w:t>
      </w:r>
      <w:r w:rsidR="000D3570" w:rsidRPr="003A251F">
        <w:rPr>
          <w:b/>
          <w:i/>
          <w:sz w:val="24"/>
          <w:szCs w:val="24"/>
        </w:rPr>
        <w:t>U</w:t>
      </w:r>
      <w:r w:rsidR="000D3570" w:rsidRPr="003A251F">
        <w:rPr>
          <w:b/>
          <w:i/>
          <w:sz w:val="24"/>
          <w:szCs w:val="24"/>
          <w:vertAlign w:val="subscript"/>
        </w:rPr>
        <w:t>$</w:t>
      </w:r>
      <w:r w:rsidR="000D3570">
        <w:rPr>
          <w:b/>
          <w:i/>
          <w:sz w:val="24"/>
          <w:szCs w:val="24"/>
          <w:vertAlign w:val="subscript"/>
        </w:rPr>
        <w:t xml:space="preserve">0 </w:t>
      </w:r>
      <w:r w:rsidR="003A251F">
        <w:rPr>
          <w:rFonts w:cstheme="minorHAnsi"/>
          <w:sz w:val="24"/>
          <w:szCs w:val="24"/>
        </w:rPr>
        <w:t>―s</w:t>
      </w:r>
      <w:r w:rsidR="003A251F">
        <w:rPr>
          <w:sz w:val="24"/>
          <w:szCs w:val="24"/>
        </w:rPr>
        <w:t xml:space="preserve">u inicio de cálculo es </w:t>
      </w:r>
      <w:r w:rsidR="003A251F" w:rsidRPr="003A251F">
        <w:rPr>
          <w:b/>
          <w:i/>
          <w:sz w:val="24"/>
          <w:szCs w:val="24"/>
        </w:rPr>
        <w:t>0$</w:t>
      </w:r>
      <w:r w:rsidR="003A251F">
        <w:rPr>
          <w:b/>
          <w:i/>
          <w:sz w:val="24"/>
          <w:szCs w:val="24"/>
          <w:vertAlign w:val="subscript"/>
        </w:rPr>
        <w:t>1</w:t>
      </w:r>
      <w:r w:rsidR="003A251F">
        <w:rPr>
          <w:sz w:val="24"/>
          <w:szCs w:val="24"/>
        </w:rPr>
        <w:t xml:space="preserve"> en lugar de </w:t>
      </w:r>
      <w:r w:rsidR="003A251F" w:rsidRPr="003A251F">
        <w:rPr>
          <w:b/>
          <w:i/>
          <w:sz w:val="24"/>
          <w:szCs w:val="24"/>
        </w:rPr>
        <w:t>0$</w:t>
      </w:r>
      <w:r w:rsidR="003A251F" w:rsidRPr="003A251F">
        <w:rPr>
          <w:b/>
          <w:i/>
          <w:sz w:val="24"/>
          <w:szCs w:val="24"/>
          <w:vertAlign w:val="subscript"/>
        </w:rPr>
        <w:t>0</w:t>
      </w:r>
      <w:r w:rsidR="003A251F">
        <w:rPr>
          <w:sz w:val="24"/>
          <w:szCs w:val="24"/>
        </w:rPr>
        <w:t>.</w:t>
      </w:r>
    </w:p>
    <w:p w:rsidR="003A251F" w:rsidRDefault="003A251F" w:rsidP="007314BD">
      <w:pPr>
        <w:pStyle w:val="NoSpacing"/>
        <w:ind w:firstLine="284"/>
        <w:jc w:val="both"/>
        <w:rPr>
          <w:sz w:val="24"/>
          <w:szCs w:val="24"/>
        </w:rPr>
      </w:pPr>
      <w:r>
        <w:rPr>
          <w:sz w:val="24"/>
          <w:szCs w:val="24"/>
        </w:rPr>
        <w:t>Las consecuencias se aprecian gráficamente, y los nuevos valores lo corroboran:</w:t>
      </w:r>
    </w:p>
    <w:p w:rsidR="003A251F" w:rsidRDefault="003A251F" w:rsidP="007314BD">
      <w:pPr>
        <w:pStyle w:val="NoSpacing"/>
        <w:ind w:firstLine="284"/>
        <w:jc w:val="both"/>
        <w:rPr>
          <w:sz w:val="24"/>
          <w:szCs w:val="24"/>
        </w:rPr>
      </w:pPr>
    </w:p>
    <w:p w:rsidR="003A251F" w:rsidRDefault="003A251F" w:rsidP="003A251F">
      <w:pPr>
        <w:pStyle w:val="NoSpacing"/>
        <w:jc w:val="center"/>
        <w:rPr>
          <w:sz w:val="24"/>
          <w:szCs w:val="24"/>
        </w:rPr>
      </w:pPr>
      <w:r w:rsidRPr="003A251F">
        <w:rPr>
          <w:b/>
          <w:i/>
        </w:rPr>
        <w:t>U</w:t>
      </w:r>
      <w:r w:rsidRPr="003A251F">
        <w:rPr>
          <w:b/>
          <w:i/>
          <w:vertAlign w:val="subscript"/>
        </w:rPr>
        <w:t>$</w:t>
      </w:r>
      <w:r>
        <w:rPr>
          <w:b/>
          <w:i/>
          <w:vertAlign w:val="subscript"/>
        </w:rPr>
        <w:t>1</w:t>
      </w:r>
      <w:r w:rsidRPr="003A251F">
        <w:t xml:space="preserve"> = </w:t>
      </w:r>
      <w:r>
        <w:t>2,667</w:t>
      </w:r>
      <w:r w:rsidRPr="003A251F">
        <w:t xml:space="preserve">; </w:t>
      </w:r>
      <w:r w:rsidRPr="003A251F">
        <w:rPr>
          <w:b/>
          <w:i/>
        </w:rPr>
        <w:t>U</w:t>
      </w:r>
      <w:r>
        <w:rPr>
          <w:b/>
          <w:i/>
          <w:vertAlign w:val="subscript"/>
        </w:rPr>
        <w:t>q1</w:t>
      </w:r>
      <w:r w:rsidRPr="003A251F">
        <w:t xml:space="preserve"> = 1,</w:t>
      </w:r>
      <w:r>
        <w:t>333</w:t>
      </w:r>
      <w:r w:rsidRPr="003A251F">
        <w:t xml:space="preserve">; </w:t>
      </w:r>
      <w:r w:rsidRPr="003A251F">
        <w:rPr>
          <w:b/>
          <w:i/>
        </w:rPr>
        <w:t>q</w:t>
      </w:r>
      <w:r w:rsidRPr="003A251F">
        <w:rPr>
          <w:b/>
          <w:i/>
          <w:vertAlign w:val="subscript"/>
        </w:rPr>
        <w:t>i</w:t>
      </w:r>
      <w:r>
        <w:rPr>
          <w:b/>
          <w:i/>
          <w:vertAlign w:val="subscript"/>
        </w:rPr>
        <w:t>1</w:t>
      </w:r>
      <w:r w:rsidRPr="003A251F">
        <w:rPr>
          <w:b/>
          <w:i/>
        </w:rPr>
        <w:t xml:space="preserve"> </w:t>
      </w:r>
      <w:r w:rsidRPr="003A251F">
        <w:t xml:space="preserve">= </w:t>
      </w:r>
      <w:r>
        <w:t>7,5</w:t>
      </w:r>
      <w:r w:rsidRPr="003A251F">
        <w:rPr>
          <w:b/>
          <w:i/>
        </w:rPr>
        <w:t>q</w:t>
      </w:r>
      <w:r w:rsidR="000D3570" w:rsidRPr="000D3570">
        <w:rPr>
          <w:b/>
          <w:i/>
          <w:vertAlign w:val="subscript"/>
        </w:rPr>
        <w:t>1</w:t>
      </w:r>
      <w:r w:rsidRPr="003A251F">
        <w:t xml:space="preserve">; </w:t>
      </w:r>
      <w:r w:rsidRPr="003A251F">
        <w:rPr>
          <w:b/>
          <w:i/>
        </w:rPr>
        <w:t>$</w:t>
      </w:r>
      <w:r w:rsidRPr="003A251F">
        <w:rPr>
          <w:b/>
          <w:i/>
          <w:vertAlign w:val="subscript"/>
        </w:rPr>
        <w:t>i</w:t>
      </w:r>
      <w:r>
        <w:rPr>
          <w:b/>
          <w:i/>
          <w:vertAlign w:val="subscript"/>
        </w:rPr>
        <w:t>1</w:t>
      </w:r>
      <w:r w:rsidRPr="003A251F">
        <w:rPr>
          <w:b/>
          <w:i/>
        </w:rPr>
        <w:t xml:space="preserve"> </w:t>
      </w:r>
      <w:r w:rsidRPr="003A251F">
        <w:t xml:space="preserve">= </w:t>
      </w:r>
      <w:r>
        <w:t>4,5</w:t>
      </w:r>
      <w:r w:rsidRPr="003A251F">
        <w:rPr>
          <w:b/>
          <w:i/>
        </w:rPr>
        <w:t>$</w:t>
      </w:r>
      <w:r w:rsidR="000D3570" w:rsidRPr="000D3570">
        <w:rPr>
          <w:b/>
          <w:i/>
          <w:vertAlign w:val="subscript"/>
        </w:rPr>
        <w:t>1</w:t>
      </w:r>
      <w:r w:rsidRPr="003A251F">
        <w:t xml:space="preserve">; </w:t>
      </w:r>
      <w:r w:rsidRPr="003A251F">
        <w:rPr>
          <w:b/>
          <w:i/>
        </w:rPr>
        <w:t>v</w:t>
      </w:r>
      <w:r w:rsidRPr="003A251F">
        <w:rPr>
          <w:b/>
          <w:i/>
          <w:vertAlign w:val="subscript"/>
        </w:rPr>
        <w:t>$(q)</w:t>
      </w:r>
      <w:r>
        <w:rPr>
          <w:b/>
          <w:i/>
          <w:vertAlign w:val="subscript"/>
        </w:rPr>
        <w:t>1</w:t>
      </w:r>
      <w:r w:rsidRPr="003A251F">
        <w:rPr>
          <w:b/>
          <w:i/>
        </w:rPr>
        <w:t xml:space="preserve"> </w:t>
      </w:r>
      <w:r w:rsidRPr="003A251F">
        <w:t xml:space="preserve">= </w:t>
      </w:r>
      <w:r>
        <w:t>2,00</w:t>
      </w:r>
      <w:r w:rsidRPr="003A251F">
        <w:t xml:space="preserve">; </w:t>
      </w:r>
      <w:r w:rsidRPr="003A251F">
        <w:rPr>
          <w:b/>
          <w:i/>
        </w:rPr>
        <w:t>v</w:t>
      </w:r>
      <w:r w:rsidRPr="003A251F">
        <w:rPr>
          <w:b/>
          <w:i/>
          <w:vertAlign w:val="subscript"/>
        </w:rPr>
        <w:t>q($)</w:t>
      </w:r>
      <w:r>
        <w:rPr>
          <w:b/>
          <w:i/>
          <w:vertAlign w:val="subscript"/>
        </w:rPr>
        <w:t>1</w:t>
      </w:r>
      <w:r w:rsidRPr="003A251F">
        <w:rPr>
          <w:b/>
          <w:i/>
        </w:rPr>
        <w:t xml:space="preserve"> </w:t>
      </w:r>
      <w:r w:rsidRPr="003A251F">
        <w:t>= 0,</w:t>
      </w:r>
      <w:r>
        <w:t>50</w:t>
      </w:r>
      <w:r w:rsidRPr="003A251F">
        <w:t xml:space="preserve">; </w:t>
      </w:r>
      <w:r w:rsidRPr="003A251F">
        <w:rPr>
          <w:b/>
          <w:i/>
        </w:rPr>
        <w:t>P</w:t>
      </w:r>
      <w:r w:rsidRPr="003A251F">
        <w:rPr>
          <w:b/>
          <w:i/>
          <w:vertAlign w:val="subscript"/>
        </w:rPr>
        <w:t>$(q)</w:t>
      </w:r>
      <w:r>
        <w:rPr>
          <w:b/>
          <w:i/>
          <w:vertAlign w:val="subscript"/>
        </w:rPr>
        <w:t>1</w:t>
      </w:r>
      <w:r w:rsidRPr="003A251F">
        <w:rPr>
          <w:b/>
          <w:i/>
        </w:rPr>
        <w:t xml:space="preserve"> </w:t>
      </w:r>
      <w:r w:rsidRPr="003A251F">
        <w:t xml:space="preserve">= </w:t>
      </w:r>
      <w:r>
        <w:t>1,667</w:t>
      </w:r>
      <w:r w:rsidRPr="003A251F">
        <w:rPr>
          <w:b/>
          <w:i/>
        </w:rPr>
        <w:t>q</w:t>
      </w:r>
      <w:r w:rsidRPr="003A251F">
        <w:rPr>
          <w:b/>
          <w:i/>
          <w:vertAlign w:val="subscript"/>
        </w:rPr>
        <w:t>1</w:t>
      </w:r>
      <w:r w:rsidRPr="003A251F">
        <w:t xml:space="preserve">; </w:t>
      </w:r>
      <w:r w:rsidRPr="003A251F">
        <w:rPr>
          <w:b/>
          <w:i/>
        </w:rPr>
        <w:t>P</w:t>
      </w:r>
      <w:r w:rsidRPr="003A251F">
        <w:rPr>
          <w:b/>
          <w:i/>
          <w:vertAlign w:val="subscript"/>
        </w:rPr>
        <w:t>q($)</w:t>
      </w:r>
      <w:r>
        <w:rPr>
          <w:b/>
          <w:i/>
          <w:vertAlign w:val="subscript"/>
        </w:rPr>
        <w:t>1</w:t>
      </w:r>
      <w:r w:rsidRPr="003A251F">
        <w:rPr>
          <w:b/>
          <w:i/>
        </w:rPr>
        <w:t xml:space="preserve"> </w:t>
      </w:r>
      <w:r w:rsidRPr="003A251F">
        <w:t xml:space="preserve">= </w:t>
      </w:r>
      <w:r>
        <w:t>0,60</w:t>
      </w:r>
      <w:r w:rsidRPr="003A251F">
        <w:rPr>
          <w:b/>
          <w:i/>
        </w:rPr>
        <w:t>$</w:t>
      </w:r>
      <w:r w:rsidRPr="003A251F">
        <w:rPr>
          <w:b/>
          <w:i/>
          <w:vertAlign w:val="subscript"/>
        </w:rPr>
        <w:t>1</w:t>
      </w:r>
    </w:p>
    <w:p w:rsidR="003A251F" w:rsidRDefault="003A251F" w:rsidP="007314BD">
      <w:pPr>
        <w:pStyle w:val="NoSpacing"/>
        <w:ind w:firstLine="284"/>
        <w:jc w:val="both"/>
        <w:rPr>
          <w:sz w:val="24"/>
          <w:szCs w:val="24"/>
        </w:rPr>
      </w:pPr>
    </w:p>
    <w:p w:rsidR="007314BD" w:rsidRDefault="003A251F" w:rsidP="003A251F">
      <w:pPr>
        <w:pStyle w:val="NoSpacing"/>
        <w:ind w:firstLine="284"/>
        <w:jc w:val="both"/>
        <w:rPr>
          <w:sz w:val="24"/>
          <w:szCs w:val="24"/>
        </w:rPr>
      </w:pPr>
      <w:r>
        <w:rPr>
          <w:sz w:val="24"/>
          <w:szCs w:val="24"/>
        </w:rPr>
        <w:t>De la comparación de las variables apreciamos:</w:t>
      </w:r>
    </w:p>
    <w:p w:rsidR="003A251F" w:rsidRDefault="003A251F" w:rsidP="003A251F">
      <w:pPr>
        <w:pStyle w:val="NoSpacing"/>
        <w:ind w:firstLine="284"/>
        <w:jc w:val="both"/>
        <w:rPr>
          <w:sz w:val="24"/>
          <w:szCs w:val="24"/>
        </w:rPr>
      </w:pPr>
    </w:p>
    <w:p w:rsidR="0069264A" w:rsidRDefault="0069264A" w:rsidP="00447C83">
      <w:pPr>
        <w:pStyle w:val="NoSpacing"/>
        <w:jc w:val="center"/>
      </w:pPr>
      <w:r w:rsidRPr="0069264A">
        <w:rPr>
          <w:b/>
          <w:i/>
          <w:color w:val="FFFFFF" w:themeColor="background1"/>
          <w:sz w:val="16"/>
          <w:szCs w:val="16"/>
        </w:rPr>
        <w:t>.</w:t>
      </w:r>
      <w:r w:rsidRPr="003A251F">
        <w:rPr>
          <w:b/>
          <w:i/>
        </w:rPr>
        <w:t>v</w:t>
      </w:r>
      <w:r w:rsidRPr="003A251F">
        <w:rPr>
          <w:b/>
          <w:i/>
          <w:vertAlign w:val="subscript"/>
        </w:rPr>
        <w:t>$(q)</w:t>
      </w:r>
      <w:r>
        <w:rPr>
          <w:b/>
          <w:i/>
          <w:vertAlign w:val="subscript"/>
        </w:rPr>
        <w:t>1</w:t>
      </w:r>
      <w:r w:rsidRPr="003A251F">
        <w:rPr>
          <w:b/>
          <w:i/>
        </w:rPr>
        <w:t xml:space="preserve"> </w:t>
      </w:r>
      <w:r w:rsidRPr="003A251F">
        <w:t xml:space="preserve">= </w:t>
      </w:r>
      <w:r>
        <w:t xml:space="preserve">2,00 </w:t>
      </w:r>
      <w:r>
        <w:rPr>
          <w:rFonts w:cstheme="minorHAnsi"/>
        </w:rPr>
        <w:t>˃</w:t>
      </w:r>
      <w:r>
        <w:t xml:space="preserve"> </w:t>
      </w:r>
      <w:r w:rsidRPr="003A251F">
        <w:rPr>
          <w:b/>
          <w:i/>
        </w:rPr>
        <w:t>v</w:t>
      </w:r>
      <w:r>
        <w:rPr>
          <w:b/>
          <w:i/>
          <w:vertAlign w:val="subscript"/>
        </w:rPr>
        <w:t>$</w:t>
      </w:r>
      <w:r w:rsidRPr="003A251F">
        <w:rPr>
          <w:b/>
          <w:i/>
          <w:vertAlign w:val="subscript"/>
        </w:rPr>
        <w:t>(</w:t>
      </w:r>
      <w:r>
        <w:rPr>
          <w:b/>
          <w:i/>
          <w:vertAlign w:val="subscript"/>
        </w:rPr>
        <w:t>q</w:t>
      </w:r>
      <w:r w:rsidRPr="003A251F">
        <w:rPr>
          <w:b/>
          <w:i/>
          <w:vertAlign w:val="subscript"/>
        </w:rPr>
        <w:t>)</w:t>
      </w:r>
      <w:r>
        <w:rPr>
          <w:b/>
          <w:i/>
          <w:vertAlign w:val="subscript"/>
        </w:rPr>
        <w:t>0</w:t>
      </w:r>
      <w:r w:rsidRPr="0069264A">
        <w:t xml:space="preserve"> </w:t>
      </w:r>
      <w:r>
        <w:t xml:space="preserve">= 1,05; </w:t>
      </w:r>
      <w:r w:rsidRPr="003A251F">
        <w:rPr>
          <w:b/>
          <w:i/>
        </w:rPr>
        <w:t>v</w:t>
      </w:r>
      <w:r>
        <w:rPr>
          <w:b/>
          <w:i/>
          <w:vertAlign w:val="subscript"/>
        </w:rPr>
        <w:t>q</w:t>
      </w:r>
      <w:r w:rsidRPr="003A251F">
        <w:rPr>
          <w:b/>
          <w:i/>
          <w:vertAlign w:val="subscript"/>
        </w:rPr>
        <w:t>(</w:t>
      </w:r>
      <w:r w:rsidR="000D3570">
        <w:rPr>
          <w:b/>
          <w:i/>
          <w:vertAlign w:val="subscript"/>
        </w:rPr>
        <w:t>$</w:t>
      </w:r>
      <w:r w:rsidRPr="003A251F">
        <w:rPr>
          <w:b/>
          <w:i/>
          <w:vertAlign w:val="subscript"/>
        </w:rPr>
        <w:t>)</w:t>
      </w:r>
      <w:r>
        <w:rPr>
          <w:b/>
          <w:i/>
          <w:vertAlign w:val="subscript"/>
        </w:rPr>
        <w:t>1</w:t>
      </w:r>
      <w:r w:rsidRPr="003A251F">
        <w:rPr>
          <w:b/>
          <w:i/>
        </w:rPr>
        <w:t xml:space="preserve"> </w:t>
      </w:r>
      <w:r w:rsidRPr="003A251F">
        <w:t xml:space="preserve">= </w:t>
      </w:r>
      <w:r>
        <w:t>0,</w:t>
      </w:r>
      <w:r w:rsidR="001D219F">
        <w:t>50</w:t>
      </w:r>
      <w:r>
        <w:t xml:space="preserve"> </w:t>
      </w:r>
      <w:r>
        <w:rPr>
          <w:rFonts w:cstheme="minorHAnsi"/>
        </w:rPr>
        <w:t>˂</w:t>
      </w:r>
      <w:r>
        <w:t xml:space="preserve"> </w:t>
      </w:r>
      <w:r w:rsidRPr="003A251F">
        <w:rPr>
          <w:b/>
          <w:i/>
        </w:rPr>
        <w:t>v</w:t>
      </w:r>
      <w:r>
        <w:rPr>
          <w:b/>
          <w:i/>
          <w:vertAlign w:val="subscript"/>
        </w:rPr>
        <w:t>q</w:t>
      </w:r>
      <w:r w:rsidRPr="003A251F">
        <w:rPr>
          <w:b/>
          <w:i/>
          <w:vertAlign w:val="subscript"/>
        </w:rPr>
        <w:t>(</w:t>
      </w:r>
      <w:r>
        <w:rPr>
          <w:b/>
          <w:i/>
          <w:vertAlign w:val="subscript"/>
        </w:rPr>
        <w:t>$</w:t>
      </w:r>
      <w:r w:rsidRPr="003A251F">
        <w:rPr>
          <w:b/>
          <w:i/>
          <w:vertAlign w:val="subscript"/>
        </w:rPr>
        <w:t>)</w:t>
      </w:r>
      <w:r>
        <w:rPr>
          <w:b/>
          <w:i/>
          <w:vertAlign w:val="subscript"/>
        </w:rPr>
        <w:t>0</w:t>
      </w:r>
      <w:r w:rsidRPr="0069264A">
        <w:t xml:space="preserve"> </w:t>
      </w:r>
      <w:r>
        <w:t xml:space="preserve">= 0,952; </w:t>
      </w:r>
      <w:r>
        <w:rPr>
          <w:b/>
          <w:i/>
        </w:rPr>
        <w:t>q</w:t>
      </w:r>
      <w:r>
        <w:rPr>
          <w:b/>
          <w:i/>
          <w:vertAlign w:val="subscript"/>
        </w:rPr>
        <w:t>i1</w:t>
      </w:r>
      <w:r w:rsidRPr="003A251F">
        <w:rPr>
          <w:b/>
          <w:i/>
        </w:rPr>
        <w:t xml:space="preserve"> </w:t>
      </w:r>
      <w:r w:rsidRPr="003A251F">
        <w:t xml:space="preserve">= </w:t>
      </w:r>
      <w:r>
        <w:t>7,50</w:t>
      </w:r>
      <w:r w:rsidR="000D3570">
        <w:rPr>
          <w:b/>
          <w:i/>
        </w:rPr>
        <w:t>q</w:t>
      </w:r>
      <w:r w:rsidR="000D3570">
        <w:rPr>
          <w:b/>
          <w:i/>
          <w:vertAlign w:val="subscript"/>
        </w:rPr>
        <w:t>1</w:t>
      </w:r>
      <w:r>
        <w:t xml:space="preserve"> </w:t>
      </w:r>
      <w:r>
        <w:rPr>
          <w:rFonts w:cstheme="minorHAnsi"/>
        </w:rPr>
        <w:t>˃</w:t>
      </w:r>
      <w:r>
        <w:t xml:space="preserve"> </w:t>
      </w:r>
      <w:r>
        <w:rPr>
          <w:b/>
          <w:i/>
        </w:rPr>
        <w:t>q</w:t>
      </w:r>
      <w:r>
        <w:rPr>
          <w:b/>
          <w:i/>
          <w:vertAlign w:val="subscript"/>
        </w:rPr>
        <w:t>i0</w:t>
      </w:r>
      <w:r w:rsidRPr="0069264A">
        <w:t xml:space="preserve"> </w:t>
      </w:r>
      <w:r>
        <w:t>= 5,6</w:t>
      </w:r>
      <w:r w:rsidR="000D3570">
        <w:rPr>
          <w:b/>
          <w:i/>
        </w:rPr>
        <w:t>q</w:t>
      </w:r>
      <w:r w:rsidR="000D3570">
        <w:rPr>
          <w:b/>
          <w:i/>
          <w:vertAlign w:val="subscript"/>
        </w:rPr>
        <w:t>0</w:t>
      </w:r>
      <w:r>
        <w:t xml:space="preserve">; </w:t>
      </w:r>
      <w:r w:rsidR="00C030CE">
        <w:rPr>
          <w:b/>
          <w:i/>
        </w:rPr>
        <w:t>$</w:t>
      </w:r>
      <w:r w:rsidR="00C030CE">
        <w:rPr>
          <w:b/>
          <w:i/>
          <w:vertAlign w:val="subscript"/>
        </w:rPr>
        <w:t>i1</w:t>
      </w:r>
      <w:r w:rsidR="00C030CE" w:rsidRPr="003A251F">
        <w:rPr>
          <w:b/>
          <w:i/>
        </w:rPr>
        <w:t xml:space="preserve"> </w:t>
      </w:r>
      <w:r w:rsidR="00C030CE" w:rsidRPr="003A251F">
        <w:t xml:space="preserve">= </w:t>
      </w:r>
      <w:r w:rsidR="001D219F">
        <w:t>4</w:t>
      </w:r>
      <w:r w:rsidR="00C030CE">
        <w:t>,50</w:t>
      </w:r>
      <w:r w:rsidR="00C030CE">
        <w:rPr>
          <w:b/>
          <w:i/>
        </w:rPr>
        <w:t>$</w:t>
      </w:r>
      <w:r w:rsidR="00C030CE">
        <w:rPr>
          <w:b/>
          <w:i/>
          <w:vertAlign w:val="subscript"/>
        </w:rPr>
        <w:t>1</w:t>
      </w:r>
      <w:r w:rsidR="00C030CE">
        <w:t xml:space="preserve"> </w:t>
      </w:r>
      <w:r w:rsidR="00C030CE">
        <w:rPr>
          <w:rFonts w:cstheme="minorHAnsi"/>
        </w:rPr>
        <w:t>˂</w:t>
      </w:r>
      <w:r w:rsidR="00C030CE">
        <w:t xml:space="preserve"> </w:t>
      </w:r>
      <w:r w:rsidR="00C030CE">
        <w:rPr>
          <w:b/>
          <w:i/>
        </w:rPr>
        <w:t>$</w:t>
      </w:r>
      <w:r w:rsidR="00C030CE">
        <w:rPr>
          <w:b/>
          <w:i/>
          <w:vertAlign w:val="subscript"/>
        </w:rPr>
        <w:t>i0</w:t>
      </w:r>
      <w:r w:rsidR="00C030CE" w:rsidRPr="0069264A">
        <w:t xml:space="preserve"> </w:t>
      </w:r>
      <w:r w:rsidR="00C030CE">
        <w:t>= 6,4</w:t>
      </w:r>
      <w:r w:rsidR="001D219F" w:rsidRPr="001D219F">
        <w:rPr>
          <w:b/>
          <w:i/>
        </w:rPr>
        <w:t>$</w:t>
      </w:r>
      <w:r w:rsidR="001D219F" w:rsidRPr="001D219F">
        <w:rPr>
          <w:b/>
          <w:i/>
          <w:vertAlign w:val="subscript"/>
        </w:rPr>
        <w:t>0</w:t>
      </w:r>
      <w:r w:rsidR="001D219F">
        <w:t xml:space="preserve">; </w:t>
      </w:r>
      <w:r>
        <w:rPr>
          <w:b/>
          <w:i/>
        </w:rPr>
        <w:t>P</w:t>
      </w:r>
      <w:r w:rsidRPr="003A251F">
        <w:rPr>
          <w:b/>
          <w:i/>
          <w:vertAlign w:val="subscript"/>
        </w:rPr>
        <w:t>$(q)</w:t>
      </w:r>
      <w:r>
        <w:rPr>
          <w:b/>
          <w:i/>
          <w:vertAlign w:val="subscript"/>
        </w:rPr>
        <w:t>1</w:t>
      </w:r>
      <w:r w:rsidRPr="003A251F">
        <w:rPr>
          <w:b/>
          <w:i/>
        </w:rPr>
        <w:t xml:space="preserve"> </w:t>
      </w:r>
      <w:r w:rsidRPr="003A251F">
        <w:t xml:space="preserve">= </w:t>
      </w:r>
      <w:r>
        <w:t>1,667</w:t>
      </w:r>
      <w:r w:rsidRPr="0069264A">
        <w:rPr>
          <w:b/>
          <w:i/>
        </w:rPr>
        <w:t>q</w:t>
      </w:r>
      <w:r w:rsidRPr="0069264A">
        <w:rPr>
          <w:b/>
          <w:i/>
          <w:vertAlign w:val="subscript"/>
        </w:rPr>
        <w:t>1</w:t>
      </w:r>
      <w:r>
        <w:t xml:space="preserve"> </w:t>
      </w:r>
      <w:r>
        <w:rPr>
          <w:rFonts w:cstheme="minorHAnsi"/>
        </w:rPr>
        <w:t>˃</w:t>
      </w:r>
      <w:r w:rsidR="00C030CE">
        <w:rPr>
          <w:rFonts w:cstheme="minorHAnsi"/>
        </w:rPr>
        <w:t xml:space="preserve"> </w:t>
      </w:r>
      <w:r>
        <w:rPr>
          <w:b/>
          <w:i/>
        </w:rPr>
        <w:t>P</w:t>
      </w:r>
      <w:r>
        <w:rPr>
          <w:b/>
          <w:i/>
          <w:vertAlign w:val="subscript"/>
        </w:rPr>
        <w:t>$</w:t>
      </w:r>
      <w:r w:rsidRPr="003A251F">
        <w:rPr>
          <w:b/>
          <w:i/>
          <w:vertAlign w:val="subscript"/>
        </w:rPr>
        <w:t>(</w:t>
      </w:r>
      <w:r>
        <w:rPr>
          <w:b/>
          <w:i/>
          <w:vertAlign w:val="subscript"/>
        </w:rPr>
        <w:t>q</w:t>
      </w:r>
      <w:r w:rsidRPr="003A251F">
        <w:rPr>
          <w:b/>
          <w:i/>
          <w:vertAlign w:val="subscript"/>
        </w:rPr>
        <w:t>)</w:t>
      </w:r>
      <w:r>
        <w:rPr>
          <w:b/>
          <w:i/>
          <w:vertAlign w:val="subscript"/>
        </w:rPr>
        <w:t>0</w:t>
      </w:r>
      <w:r w:rsidRPr="0069264A">
        <w:t xml:space="preserve"> </w:t>
      </w:r>
      <w:r>
        <w:t>= 0,875</w:t>
      </w:r>
      <w:r w:rsidRPr="0069264A">
        <w:rPr>
          <w:b/>
          <w:i/>
        </w:rPr>
        <w:t>q</w:t>
      </w:r>
      <w:r w:rsidRPr="0069264A">
        <w:rPr>
          <w:b/>
          <w:i/>
          <w:vertAlign w:val="subscript"/>
        </w:rPr>
        <w:t>0</w:t>
      </w:r>
      <w:r>
        <w:t xml:space="preserve">; </w:t>
      </w:r>
      <w:r>
        <w:rPr>
          <w:b/>
          <w:i/>
        </w:rPr>
        <w:t>P</w:t>
      </w:r>
      <w:r>
        <w:rPr>
          <w:b/>
          <w:i/>
          <w:vertAlign w:val="subscript"/>
        </w:rPr>
        <w:t>q</w:t>
      </w:r>
      <w:r w:rsidRPr="003A251F">
        <w:rPr>
          <w:b/>
          <w:i/>
          <w:vertAlign w:val="subscript"/>
        </w:rPr>
        <w:t>(</w:t>
      </w:r>
      <w:r>
        <w:rPr>
          <w:b/>
          <w:i/>
          <w:vertAlign w:val="subscript"/>
        </w:rPr>
        <w:t>$</w:t>
      </w:r>
      <w:r w:rsidRPr="003A251F">
        <w:rPr>
          <w:b/>
          <w:i/>
          <w:vertAlign w:val="subscript"/>
        </w:rPr>
        <w:t>)</w:t>
      </w:r>
      <w:r>
        <w:rPr>
          <w:b/>
          <w:i/>
          <w:vertAlign w:val="subscript"/>
        </w:rPr>
        <w:t>1</w:t>
      </w:r>
      <w:r w:rsidRPr="003A251F">
        <w:rPr>
          <w:b/>
          <w:i/>
        </w:rPr>
        <w:t xml:space="preserve"> </w:t>
      </w:r>
      <w:r w:rsidRPr="003A251F">
        <w:t xml:space="preserve">= </w:t>
      </w:r>
      <w:r>
        <w:t>0,60</w:t>
      </w:r>
      <w:r>
        <w:rPr>
          <w:b/>
          <w:i/>
        </w:rPr>
        <w:t>$</w:t>
      </w:r>
      <w:r w:rsidRPr="0069264A">
        <w:rPr>
          <w:b/>
          <w:i/>
          <w:vertAlign w:val="subscript"/>
        </w:rPr>
        <w:t>1</w:t>
      </w:r>
      <w:r>
        <w:t xml:space="preserve"> </w:t>
      </w:r>
      <w:r>
        <w:rPr>
          <w:rFonts w:cstheme="minorHAnsi"/>
        </w:rPr>
        <w:t>˂</w:t>
      </w:r>
      <w:r>
        <w:t xml:space="preserve"> </w:t>
      </w:r>
      <w:r>
        <w:rPr>
          <w:b/>
          <w:i/>
        </w:rPr>
        <w:t>P</w:t>
      </w:r>
      <w:r>
        <w:rPr>
          <w:b/>
          <w:i/>
          <w:vertAlign w:val="subscript"/>
        </w:rPr>
        <w:t>$</w:t>
      </w:r>
      <w:r w:rsidRPr="003A251F">
        <w:rPr>
          <w:b/>
          <w:i/>
          <w:vertAlign w:val="subscript"/>
        </w:rPr>
        <w:t>(</w:t>
      </w:r>
      <w:r>
        <w:rPr>
          <w:b/>
          <w:i/>
          <w:vertAlign w:val="subscript"/>
        </w:rPr>
        <w:t>q</w:t>
      </w:r>
      <w:r w:rsidRPr="003A251F">
        <w:rPr>
          <w:b/>
          <w:i/>
          <w:vertAlign w:val="subscript"/>
        </w:rPr>
        <w:t>)</w:t>
      </w:r>
      <w:r>
        <w:rPr>
          <w:b/>
          <w:i/>
          <w:vertAlign w:val="subscript"/>
        </w:rPr>
        <w:t>0</w:t>
      </w:r>
      <w:r w:rsidRPr="0069264A">
        <w:t xml:space="preserve"> </w:t>
      </w:r>
      <w:r>
        <w:t>= 1,14</w:t>
      </w:r>
      <w:r w:rsidR="001D219F">
        <w:t>3</w:t>
      </w:r>
      <w:r>
        <w:rPr>
          <w:b/>
          <w:i/>
        </w:rPr>
        <w:t>$</w:t>
      </w:r>
      <w:r w:rsidRPr="0069264A">
        <w:rPr>
          <w:b/>
          <w:i/>
          <w:vertAlign w:val="subscript"/>
        </w:rPr>
        <w:t>0</w:t>
      </w:r>
      <w:r>
        <w:t xml:space="preserve">; </w:t>
      </w:r>
      <w:r>
        <w:rPr>
          <w:b/>
          <w:i/>
        </w:rPr>
        <w:t>U</w:t>
      </w:r>
      <w:r w:rsidRPr="003A251F">
        <w:rPr>
          <w:b/>
          <w:i/>
          <w:vertAlign w:val="subscript"/>
        </w:rPr>
        <w:t>$</w:t>
      </w:r>
      <w:r>
        <w:rPr>
          <w:b/>
          <w:i/>
          <w:vertAlign w:val="subscript"/>
        </w:rPr>
        <w:t>1</w:t>
      </w:r>
      <w:r w:rsidRPr="003A251F">
        <w:rPr>
          <w:b/>
          <w:i/>
        </w:rPr>
        <w:t xml:space="preserve"> </w:t>
      </w:r>
      <w:r w:rsidRPr="003A251F">
        <w:t xml:space="preserve">= </w:t>
      </w:r>
      <w:r>
        <w:t xml:space="preserve">2,667 </w:t>
      </w:r>
      <w:r>
        <w:rPr>
          <w:rFonts w:cstheme="minorHAnsi"/>
        </w:rPr>
        <w:t>˃</w:t>
      </w:r>
      <w:r>
        <w:t xml:space="preserve"> </w:t>
      </w:r>
      <w:r>
        <w:rPr>
          <w:b/>
          <w:i/>
        </w:rPr>
        <w:t>U</w:t>
      </w:r>
      <w:r>
        <w:rPr>
          <w:b/>
          <w:i/>
          <w:vertAlign w:val="subscript"/>
        </w:rPr>
        <w:t>$0</w:t>
      </w:r>
      <w:r w:rsidRPr="0069264A">
        <w:t xml:space="preserve"> </w:t>
      </w:r>
      <w:r>
        <w:t>= 1,875</w:t>
      </w:r>
    </w:p>
    <w:p w:rsidR="0069264A" w:rsidRDefault="0069264A" w:rsidP="0069264A">
      <w:pPr>
        <w:pStyle w:val="NoSpacing"/>
        <w:jc w:val="both"/>
      </w:pPr>
    </w:p>
    <w:p w:rsidR="0069264A" w:rsidRDefault="0069264A" w:rsidP="0069264A">
      <w:pPr>
        <w:pStyle w:val="NoSpacing"/>
        <w:ind w:firstLine="284"/>
        <w:jc w:val="both"/>
      </w:pPr>
      <w:r>
        <w:t xml:space="preserve">De todas las comparaciones nos interesa destacar la que corrobora la </w:t>
      </w:r>
      <w:r w:rsidRPr="008E4DAF">
        <w:rPr>
          <w:b/>
          <w:i/>
          <w:u w:val="single"/>
        </w:rPr>
        <w:t xml:space="preserve">correlación </w:t>
      </w:r>
      <w:r w:rsidR="008E4DAF" w:rsidRPr="008E4DAF">
        <w:rPr>
          <w:b/>
          <w:i/>
          <w:u w:val="single"/>
        </w:rPr>
        <w:t>positiva</w:t>
      </w:r>
      <w:r w:rsidR="008E4DAF">
        <w:t xml:space="preserve"> </w:t>
      </w:r>
      <w:r>
        <w:t>del intercambio:</w:t>
      </w:r>
    </w:p>
    <w:p w:rsidR="008E4DAF" w:rsidRDefault="008E4DAF" w:rsidP="0069264A">
      <w:pPr>
        <w:pStyle w:val="NoSpacing"/>
        <w:ind w:firstLine="284"/>
        <w:jc w:val="both"/>
      </w:pPr>
    </w:p>
    <w:p w:rsidR="000D3570" w:rsidRPr="000D3570" w:rsidRDefault="000D3570" w:rsidP="000D3570">
      <w:pPr>
        <w:pStyle w:val="NoSpacing"/>
        <w:jc w:val="center"/>
        <w:rPr>
          <w:b/>
        </w:rPr>
      </w:pPr>
      <w:r w:rsidRPr="000D3570">
        <w:rPr>
          <w:b/>
        </w:rPr>
        <w:t>Correlación “cruzada” del intercambio</w:t>
      </w:r>
    </w:p>
    <w:p w:rsidR="008E4DAF" w:rsidRDefault="008E4DAF" w:rsidP="0069264A">
      <w:pPr>
        <w:pStyle w:val="NoSpacing"/>
        <w:ind w:firstLine="284"/>
        <w:jc w:val="both"/>
      </w:pPr>
    </w:p>
    <w:tbl>
      <w:tblPr>
        <w:tblStyle w:val="TableGrid"/>
        <w:tblW w:w="0" w:type="auto"/>
        <w:tblInd w:w="2802" w:type="dxa"/>
        <w:tblLook w:val="04A0"/>
      </w:tblPr>
      <w:tblGrid>
        <w:gridCol w:w="4110"/>
      </w:tblGrid>
      <w:tr w:rsidR="008E4DAF" w:rsidTr="0059741E">
        <w:tc>
          <w:tcPr>
            <w:tcW w:w="4110" w:type="dxa"/>
          </w:tcPr>
          <w:p w:rsidR="008E4DAF" w:rsidRDefault="008E4DAF" w:rsidP="0069264A">
            <w:pPr>
              <w:pStyle w:val="NoSpacing"/>
              <w:jc w:val="both"/>
            </w:pPr>
          </w:p>
          <w:p w:rsidR="008E4DAF" w:rsidRPr="008E4DAF" w:rsidRDefault="008E4DAF" w:rsidP="008E4DAF">
            <w:pPr>
              <w:pStyle w:val="NoSpacing"/>
              <w:jc w:val="center"/>
              <w:rPr>
                <w:sz w:val="40"/>
                <w:szCs w:val="40"/>
              </w:rPr>
            </w:pPr>
            <w:r w:rsidRPr="008E4DAF">
              <w:rPr>
                <w:rFonts w:cstheme="minorHAnsi"/>
                <w:b/>
                <w:i/>
                <w:sz w:val="40"/>
                <w:szCs w:val="40"/>
              </w:rPr>
              <w:t>↑</w:t>
            </w:r>
            <w:r w:rsidRPr="008E4DAF">
              <w:rPr>
                <w:b/>
                <w:i/>
                <w:sz w:val="40"/>
                <w:szCs w:val="40"/>
              </w:rPr>
              <w:t>v</w:t>
            </w:r>
            <w:r w:rsidRPr="008E4DAF">
              <w:rPr>
                <w:b/>
                <w:i/>
                <w:sz w:val="40"/>
                <w:szCs w:val="40"/>
                <w:vertAlign w:val="subscript"/>
              </w:rPr>
              <w:t>$(q)</w:t>
            </w:r>
            <w:r w:rsidRPr="008E4DAF">
              <w:rPr>
                <w:b/>
                <w:i/>
                <w:sz w:val="40"/>
                <w:szCs w:val="40"/>
              </w:rPr>
              <w:t xml:space="preserve"> </w:t>
            </w:r>
            <w:r w:rsidRPr="008E4DAF">
              <w:rPr>
                <w:rFonts w:cstheme="minorHAnsi"/>
                <w:b/>
                <w:i/>
                <w:sz w:val="40"/>
                <w:szCs w:val="40"/>
              </w:rPr>
              <w:t>↔</w:t>
            </w:r>
            <w:r w:rsidRPr="008E4DAF">
              <w:rPr>
                <w:b/>
                <w:i/>
                <w:sz w:val="40"/>
                <w:szCs w:val="40"/>
              </w:rPr>
              <w:t xml:space="preserve"> </w:t>
            </w:r>
            <w:r w:rsidRPr="008E4DAF">
              <w:rPr>
                <w:rFonts w:cstheme="minorHAnsi"/>
                <w:b/>
                <w:i/>
                <w:sz w:val="40"/>
                <w:szCs w:val="40"/>
              </w:rPr>
              <w:t>↑</w:t>
            </w:r>
            <w:r w:rsidRPr="008E4DAF">
              <w:rPr>
                <w:b/>
                <w:i/>
                <w:sz w:val="40"/>
                <w:szCs w:val="40"/>
              </w:rPr>
              <w:t>q</w:t>
            </w:r>
            <w:r w:rsidRPr="008E4DAF">
              <w:rPr>
                <w:b/>
                <w:i/>
                <w:sz w:val="40"/>
                <w:szCs w:val="40"/>
                <w:vertAlign w:val="subscript"/>
              </w:rPr>
              <w:t>i</w:t>
            </w:r>
          </w:p>
          <w:p w:rsidR="008E4DAF" w:rsidRDefault="008E4DAF" w:rsidP="0069264A">
            <w:pPr>
              <w:pStyle w:val="NoSpacing"/>
              <w:jc w:val="both"/>
            </w:pPr>
          </w:p>
        </w:tc>
      </w:tr>
    </w:tbl>
    <w:p w:rsidR="0069264A" w:rsidRDefault="0069264A" w:rsidP="0069264A">
      <w:pPr>
        <w:pStyle w:val="NoSpacing"/>
        <w:ind w:firstLine="284"/>
        <w:jc w:val="both"/>
      </w:pPr>
    </w:p>
    <w:p w:rsidR="003A251F" w:rsidRPr="0094183E" w:rsidRDefault="003A251F" w:rsidP="0094183E">
      <w:pPr>
        <w:pStyle w:val="NoSpacing"/>
        <w:jc w:val="center"/>
      </w:pPr>
    </w:p>
    <w:p w:rsidR="0094183E" w:rsidRDefault="0094183E" w:rsidP="0094183E">
      <w:pPr>
        <w:pStyle w:val="NoSpacing"/>
        <w:jc w:val="both"/>
      </w:pPr>
    </w:p>
    <w:p w:rsidR="0094183E" w:rsidRDefault="0094183E" w:rsidP="0094183E">
      <w:pPr>
        <w:pStyle w:val="NoSpacing"/>
        <w:jc w:val="both"/>
      </w:pPr>
    </w:p>
    <w:p w:rsidR="0094183E" w:rsidRPr="0094183E" w:rsidRDefault="0094183E" w:rsidP="0094183E">
      <w:pPr>
        <w:pStyle w:val="NoSpacing"/>
        <w:jc w:val="right"/>
      </w:pPr>
      <w:r>
        <w:t>Carlos A. Bondone</w:t>
      </w:r>
    </w:p>
    <w:p w:rsidR="0094183E" w:rsidRPr="0069264A" w:rsidRDefault="0094183E" w:rsidP="0094183E">
      <w:pPr>
        <w:pStyle w:val="NoSpacing"/>
        <w:jc w:val="both"/>
        <w:rPr>
          <w:sz w:val="24"/>
          <w:szCs w:val="24"/>
        </w:rPr>
      </w:pPr>
      <w:bookmarkStart w:id="0" w:name="_GoBack"/>
      <w:bookmarkEnd w:id="0"/>
    </w:p>
    <w:sectPr w:rsidR="0094183E" w:rsidRPr="0069264A" w:rsidSect="00447C83">
      <w:footerReference w:type="default" r:id="rId9"/>
      <w:pgSz w:w="12240" w:h="15840"/>
      <w:pgMar w:top="1417" w:right="118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B1F" w:rsidRDefault="00D90B1F" w:rsidP="007314BD">
      <w:r>
        <w:separator/>
      </w:r>
    </w:p>
  </w:endnote>
  <w:endnote w:type="continuationSeparator" w:id="0">
    <w:p w:rsidR="00D90B1F" w:rsidRDefault="00D90B1F" w:rsidP="00731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725"/>
      <w:gridCol w:w="2122"/>
      <w:gridCol w:w="3725"/>
    </w:tblGrid>
    <w:tr w:rsidR="00BB7B9E" w:rsidTr="00747C4F">
      <w:trPr>
        <w:trHeight w:val="273"/>
      </w:trPr>
      <w:tc>
        <w:tcPr>
          <w:tcW w:w="2250" w:type="pct"/>
          <w:tcBorders>
            <w:bottom w:val="single" w:sz="4" w:space="0" w:color="4F81BD" w:themeColor="accent1"/>
          </w:tcBorders>
        </w:tcPr>
        <w:p w:rsidR="00BB7B9E" w:rsidRDefault="00BB7B9E" w:rsidP="00747C4F">
          <w:pPr>
            <w:pStyle w:val="Header"/>
            <w:rPr>
              <w:rFonts w:asciiTheme="majorHAnsi" w:eastAsiaTheme="majorEastAsia" w:hAnsiTheme="majorHAnsi" w:cstheme="majorBidi"/>
              <w:b/>
              <w:bCs/>
            </w:rPr>
          </w:pPr>
        </w:p>
      </w:tc>
      <w:tc>
        <w:tcPr>
          <w:tcW w:w="500" w:type="pct"/>
          <w:vMerge w:val="restart"/>
          <w:noWrap/>
          <w:vAlign w:val="center"/>
        </w:tcPr>
        <w:p w:rsidR="00BB7B9E" w:rsidRPr="00095CAA" w:rsidRDefault="00BB7B9E" w:rsidP="00747C4F">
          <w:pPr>
            <w:pStyle w:val="NoSpacing"/>
            <w:jc w:val="center"/>
            <w:rPr>
              <w:rFonts w:ascii="Corbel" w:hAnsi="Corbel" w:cstheme="majorHAnsi"/>
              <w:sz w:val="18"/>
            </w:rPr>
          </w:pPr>
          <w:r w:rsidRPr="00095CAA">
            <w:rPr>
              <w:rFonts w:ascii="Corbel" w:hAnsi="Corbel" w:cstheme="majorHAnsi"/>
              <w:sz w:val="18"/>
            </w:rPr>
            <w:fldChar w:fldCharType="begin"/>
          </w:r>
          <w:r w:rsidRPr="00095CAA">
            <w:rPr>
              <w:rFonts w:ascii="Corbel" w:hAnsi="Corbel" w:cstheme="majorHAnsi"/>
              <w:sz w:val="18"/>
            </w:rPr>
            <w:instrText xml:space="preserve"> PAGE  \* MERGEFORMAT </w:instrText>
          </w:r>
          <w:r w:rsidRPr="00095CAA">
            <w:rPr>
              <w:rFonts w:ascii="Corbel" w:hAnsi="Corbel" w:cstheme="majorHAnsi"/>
              <w:sz w:val="18"/>
            </w:rPr>
            <w:fldChar w:fldCharType="separate"/>
          </w:r>
          <w:r w:rsidR="00DC084F">
            <w:rPr>
              <w:rFonts w:ascii="Corbel" w:hAnsi="Corbel" w:cstheme="majorHAnsi"/>
              <w:noProof/>
              <w:sz w:val="18"/>
            </w:rPr>
            <w:t>1</w:t>
          </w:r>
          <w:r w:rsidRPr="00095CAA">
            <w:rPr>
              <w:rFonts w:ascii="Corbel" w:hAnsi="Corbel" w:cstheme="majorHAnsi"/>
              <w:sz w:val="18"/>
            </w:rPr>
            <w:fldChar w:fldCharType="end"/>
          </w:r>
        </w:p>
        <w:p w:rsidR="00BB7B9E" w:rsidRPr="00095CAA" w:rsidRDefault="00BB7B9E" w:rsidP="00747C4F">
          <w:pPr>
            <w:pStyle w:val="NoSpacing"/>
            <w:jc w:val="center"/>
            <w:rPr>
              <w:rFonts w:asciiTheme="majorHAnsi" w:hAnsiTheme="majorHAnsi"/>
            </w:rPr>
          </w:pPr>
          <w:hyperlink r:id="rId1" w:history="1">
            <w:r w:rsidRPr="00095CAA">
              <w:rPr>
                <w:rStyle w:val="Hyperlink"/>
                <w:rFonts w:ascii="Corbel" w:hAnsi="Corbel" w:cstheme="majorHAnsi"/>
                <w:sz w:val="18"/>
              </w:rPr>
              <w:t>www.carlosbondone.com</w:t>
            </w:r>
          </w:hyperlink>
        </w:p>
      </w:tc>
      <w:tc>
        <w:tcPr>
          <w:tcW w:w="2250" w:type="pct"/>
          <w:tcBorders>
            <w:bottom w:val="single" w:sz="4" w:space="0" w:color="4F81BD" w:themeColor="accent1"/>
          </w:tcBorders>
        </w:tcPr>
        <w:p w:rsidR="00BB7B9E" w:rsidRPr="00380F21" w:rsidRDefault="00BB7B9E" w:rsidP="00747C4F">
          <w:pPr>
            <w:pStyle w:val="Header"/>
            <w:rPr>
              <w:rFonts w:asciiTheme="majorHAnsi" w:eastAsiaTheme="majorEastAsia" w:hAnsiTheme="majorHAnsi" w:cstheme="majorBidi"/>
              <w:b/>
              <w:bCs/>
            </w:rPr>
          </w:pPr>
        </w:p>
      </w:tc>
    </w:tr>
    <w:tr w:rsidR="00BB7B9E" w:rsidTr="00747C4F">
      <w:trPr>
        <w:trHeight w:val="150"/>
      </w:trPr>
      <w:tc>
        <w:tcPr>
          <w:tcW w:w="2250" w:type="pct"/>
          <w:tcBorders>
            <w:top w:val="single" w:sz="4" w:space="0" w:color="4F81BD" w:themeColor="accent1"/>
          </w:tcBorders>
        </w:tcPr>
        <w:p w:rsidR="00BB7B9E" w:rsidRDefault="00BB7B9E" w:rsidP="00747C4F">
          <w:pPr>
            <w:pStyle w:val="Header"/>
            <w:rPr>
              <w:rFonts w:asciiTheme="majorHAnsi" w:eastAsiaTheme="majorEastAsia" w:hAnsiTheme="majorHAnsi" w:cstheme="majorBidi"/>
              <w:b/>
              <w:bCs/>
            </w:rPr>
          </w:pPr>
        </w:p>
      </w:tc>
      <w:tc>
        <w:tcPr>
          <w:tcW w:w="500" w:type="pct"/>
          <w:vMerge/>
        </w:tcPr>
        <w:p w:rsidR="00BB7B9E" w:rsidRPr="00380F21" w:rsidRDefault="00BB7B9E" w:rsidP="00747C4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B7B9E" w:rsidRPr="00380F21" w:rsidRDefault="00BB7B9E" w:rsidP="00747C4F">
          <w:pPr>
            <w:pStyle w:val="Header"/>
            <w:rPr>
              <w:rFonts w:asciiTheme="majorHAnsi" w:eastAsiaTheme="majorEastAsia" w:hAnsiTheme="majorHAnsi" w:cstheme="majorBidi"/>
              <w:b/>
              <w:bCs/>
            </w:rPr>
          </w:pPr>
        </w:p>
      </w:tc>
    </w:tr>
  </w:tbl>
  <w:p w:rsidR="001D219F" w:rsidRDefault="001D219F">
    <w:pPr>
      <w:pStyle w:val="Footer"/>
      <w:jc w:val="center"/>
    </w:pPr>
  </w:p>
  <w:p w:rsidR="001D219F" w:rsidRDefault="001D2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B1F" w:rsidRDefault="00D90B1F" w:rsidP="007314BD">
      <w:r>
        <w:separator/>
      </w:r>
    </w:p>
  </w:footnote>
  <w:footnote w:type="continuationSeparator" w:id="0">
    <w:p w:rsidR="00D90B1F" w:rsidRDefault="00D90B1F" w:rsidP="007314BD">
      <w:r>
        <w:continuationSeparator/>
      </w:r>
    </w:p>
  </w:footnote>
  <w:footnote w:id="1">
    <w:p w:rsidR="001D219F" w:rsidRPr="008E4DAF" w:rsidRDefault="001D219F" w:rsidP="008E4DAF">
      <w:pPr>
        <w:pStyle w:val="NoSpacing"/>
        <w:jc w:val="both"/>
        <w:rPr>
          <w:sz w:val="18"/>
          <w:szCs w:val="18"/>
        </w:rPr>
      </w:pPr>
      <w:r w:rsidRPr="008E4DAF">
        <w:rPr>
          <w:rStyle w:val="FootnoteReference"/>
          <w:b/>
          <w:sz w:val="18"/>
          <w:szCs w:val="18"/>
        </w:rPr>
        <w:footnoteRef/>
      </w:r>
      <w:r w:rsidRPr="008E4DAF">
        <w:rPr>
          <w:sz w:val="18"/>
          <w:szCs w:val="18"/>
        </w:rPr>
        <w:t xml:space="preserve"> Ver en </w:t>
      </w:r>
      <w:hyperlink r:id="rId1" w:history="1">
        <w:r w:rsidRPr="00DC084F">
          <w:rPr>
            <w:rStyle w:val="Hyperlink"/>
            <w:i/>
            <w:sz w:val="18"/>
            <w:szCs w:val="18"/>
          </w:rPr>
          <w:t>Teoría de la Riqueza y la Desocupación</w:t>
        </w:r>
      </w:hyperlink>
      <w:r w:rsidRPr="008E4DAF">
        <w:rPr>
          <w:sz w:val="18"/>
          <w:szCs w:val="18"/>
        </w:rPr>
        <w:t xml:space="preserve"> (2013) </w:t>
      </w:r>
      <w:r w:rsidRPr="00DC084F">
        <w:rPr>
          <w:sz w:val="18"/>
          <w:szCs w:val="18"/>
        </w:rPr>
        <w:t xml:space="preserve">y </w:t>
      </w:r>
      <w:hyperlink r:id="rId2" w:history="1">
        <w:r w:rsidR="00DC084F" w:rsidRPr="00DC084F">
          <w:rPr>
            <w:rStyle w:val="Hyperlink"/>
            <w:rFonts w:ascii="Times New Roman" w:hAnsi="Times New Roman" w:cs="Times New Roman"/>
            <w:i/>
            <w:sz w:val="18"/>
            <w:szCs w:val="18"/>
          </w:rPr>
          <w:t>Teoría Económica Subjetiva Solidaria</w:t>
        </w:r>
      </w:hyperlink>
      <w:r w:rsidR="00DC084F" w:rsidRPr="008E4DAF">
        <w:rPr>
          <w:sz w:val="18"/>
          <w:szCs w:val="18"/>
        </w:rPr>
        <w:t xml:space="preserve"> </w:t>
      </w:r>
      <w:r w:rsidR="00DC084F">
        <w:rPr>
          <w:sz w:val="18"/>
          <w:szCs w:val="18"/>
        </w:rPr>
        <w:t xml:space="preserve"> </w:t>
      </w:r>
      <w:r w:rsidRPr="008E4DAF">
        <w:rPr>
          <w:sz w:val="18"/>
          <w:szCs w:val="18"/>
        </w:rPr>
        <w:t xml:space="preserve">(TESS) (2018). </w:t>
      </w:r>
    </w:p>
  </w:footnote>
  <w:footnote w:id="2">
    <w:p w:rsidR="001D219F" w:rsidRPr="007314BD" w:rsidRDefault="001D219F" w:rsidP="007314BD">
      <w:pPr>
        <w:pStyle w:val="NoSpacing"/>
        <w:jc w:val="both"/>
        <w:rPr>
          <w:sz w:val="18"/>
          <w:szCs w:val="18"/>
        </w:rPr>
      </w:pPr>
      <w:r w:rsidRPr="007314BD">
        <w:rPr>
          <w:rStyle w:val="FootnoteReference"/>
          <w:b/>
          <w:sz w:val="18"/>
          <w:szCs w:val="18"/>
        </w:rPr>
        <w:footnoteRef/>
      </w:r>
      <w:r w:rsidRPr="007314BD">
        <w:rPr>
          <w:sz w:val="18"/>
          <w:szCs w:val="18"/>
        </w:rPr>
        <w:t xml:space="preserve"> Conforme fórmulas de cálculo de la tabla 5 de </w:t>
      </w:r>
      <w:hyperlink r:id="rId3" w:history="1">
        <w:r w:rsidR="00DC084F" w:rsidRPr="00DC084F">
          <w:rPr>
            <w:rStyle w:val="Hyperlink"/>
            <w:rFonts w:ascii="Times New Roman" w:hAnsi="Times New Roman" w:cs="Times New Roman"/>
            <w:i/>
            <w:sz w:val="18"/>
            <w:szCs w:val="18"/>
          </w:rPr>
          <w:t>Teoría Económica Subjetiva Solidaria</w:t>
        </w:r>
      </w:hyperlink>
      <w:r w:rsidR="00DC084F" w:rsidRPr="00DC084F">
        <w:rPr>
          <w:sz w:val="18"/>
          <w:szCs w:val="18"/>
        </w:rPr>
        <w:t xml:space="preserve"> </w:t>
      </w:r>
      <w:r w:rsidR="00DC084F">
        <w:rPr>
          <w:sz w:val="18"/>
          <w:szCs w:val="18"/>
        </w:rPr>
        <w:t xml:space="preserve"> </w:t>
      </w:r>
      <w:r w:rsidRPr="007314BD">
        <w:rPr>
          <w:sz w:val="18"/>
          <w:szCs w:val="18"/>
        </w:rPr>
        <w:t>(TESS).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C63A17"/>
    <w:rsid w:val="00062FA3"/>
    <w:rsid w:val="000D3570"/>
    <w:rsid w:val="00144D2E"/>
    <w:rsid w:val="001D0E1F"/>
    <w:rsid w:val="001D219F"/>
    <w:rsid w:val="00266BBC"/>
    <w:rsid w:val="003A251F"/>
    <w:rsid w:val="00441434"/>
    <w:rsid w:val="00447C83"/>
    <w:rsid w:val="00492A7E"/>
    <w:rsid w:val="0059741E"/>
    <w:rsid w:val="0069264A"/>
    <w:rsid w:val="006936CC"/>
    <w:rsid w:val="007314BD"/>
    <w:rsid w:val="008E4DAF"/>
    <w:rsid w:val="00917C4A"/>
    <w:rsid w:val="0094183E"/>
    <w:rsid w:val="009767A5"/>
    <w:rsid w:val="00B27DFA"/>
    <w:rsid w:val="00BB7B9E"/>
    <w:rsid w:val="00C030CE"/>
    <w:rsid w:val="00C35503"/>
    <w:rsid w:val="00C63A17"/>
    <w:rsid w:val="00C8602B"/>
    <w:rsid w:val="00CA1FC4"/>
    <w:rsid w:val="00CE7EAB"/>
    <w:rsid w:val="00D90B1F"/>
    <w:rsid w:val="00DC084F"/>
    <w:rsid w:val="00E51DE0"/>
    <w:rsid w:val="00EB3B88"/>
    <w:rsid w:val="00F36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602B"/>
  </w:style>
  <w:style w:type="paragraph" w:styleId="BalloonText">
    <w:name w:val="Balloon Text"/>
    <w:basedOn w:val="Normal"/>
    <w:link w:val="BalloonTextChar"/>
    <w:uiPriority w:val="99"/>
    <w:semiHidden/>
    <w:unhideWhenUsed/>
    <w:rsid w:val="00EB3B88"/>
    <w:rPr>
      <w:rFonts w:ascii="Tahoma" w:hAnsi="Tahoma" w:cs="Tahoma"/>
      <w:sz w:val="16"/>
      <w:szCs w:val="16"/>
    </w:rPr>
  </w:style>
  <w:style w:type="character" w:customStyle="1" w:styleId="BalloonTextChar">
    <w:name w:val="Balloon Text Char"/>
    <w:basedOn w:val="DefaultParagraphFont"/>
    <w:link w:val="BalloonText"/>
    <w:uiPriority w:val="99"/>
    <w:semiHidden/>
    <w:rsid w:val="00EB3B88"/>
    <w:rPr>
      <w:rFonts w:ascii="Tahoma" w:hAnsi="Tahoma" w:cs="Tahoma"/>
      <w:sz w:val="16"/>
      <w:szCs w:val="16"/>
    </w:rPr>
  </w:style>
  <w:style w:type="paragraph" w:styleId="FootnoteText">
    <w:name w:val="footnote text"/>
    <w:basedOn w:val="Normal"/>
    <w:link w:val="FootnoteTextChar"/>
    <w:uiPriority w:val="99"/>
    <w:semiHidden/>
    <w:unhideWhenUsed/>
    <w:rsid w:val="007314BD"/>
    <w:rPr>
      <w:sz w:val="20"/>
      <w:szCs w:val="20"/>
    </w:rPr>
  </w:style>
  <w:style w:type="character" w:customStyle="1" w:styleId="FootnoteTextChar">
    <w:name w:val="Footnote Text Char"/>
    <w:basedOn w:val="DefaultParagraphFont"/>
    <w:link w:val="FootnoteText"/>
    <w:uiPriority w:val="99"/>
    <w:semiHidden/>
    <w:rsid w:val="007314BD"/>
    <w:rPr>
      <w:sz w:val="20"/>
      <w:szCs w:val="20"/>
    </w:rPr>
  </w:style>
  <w:style w:type="character" w:styleId="FootnoteReference">
    <w:name w:val="footnote reference"/>
    <w:basedOn w:val="DefaultParagraphFont"/>
    <w:uiPriority w:val="99"/>
    <w:semiHidden/>
    <w:unhideWhenUsed/>
    <w:rsid w:val="007314BD"/>
    <w:rPr>
      <w:vertAlign w:val="superscript"/>
    </w:rPr>
  </w:style>
  <w:style w:type="paragraph" w:styleId="Header">
    <w:name w:val="header"/>
    <w:basedOn w:val="Normal"/>
    <w:link w:val="HeaderChar"/>
    <w:uiPriority w:val="99"/>
    <w:unhideWhenUsed/>
    <w:rsid w:val="008E4DAF"/>
    <w:pPr>
      <w:tabs>
        <w:tab w:val="center" w:pos="4419"/>
        <w:tab w:val="right" w:pos="8838"/>
      </w:tabs>
    </w:pPr>
  </w:style>
  <w:style w:type="character" w:customStyle="1" w:styleId="HeaderChar">
    <w:name w:val="Header Char"/>
    <w:basedOn w:val="DefaultParagraphFont"/>
    <w:link w:val="Header"/>
    <w:uiPriority w:val="99"/>
    <w:rsid w:val="008E4DAF"/>
  </w:style>
  <w:style w:type="paragraph" w:styleId="Footer">
    <w:name w:val="footer"/>
    <w:basedOn w:val="Normal"/>
    <w:link w:val="FooterChar"/>
    <w:uiPriority w:val="99"/>
    <w:unhideWhenUsed/>
    <w:rsid w:val="008E4DAF"/>
    <w:pPr>
      <w:tabs>
        <w:tab w:val="center" w:pos="4419"/>
        <w:tab w:val="right" w:pos="8838"/>
      </w:tabs>
    </w:pPr>
  </w:style>
  <w:style w:type="character" w:customStyle="1" w:styleId="FooterChar">
    <w:name w:val="Footer Char"/>
    <w:basedOn w:val="DefaultParagraphFont"/>
    <w:link w:val="Footer"/>
    <w:uiPriority w:val="99"/>
    <w:rsid w:val="008E4DAF"/>
  </w:style>
  <w:style w:type="table" w:styleId="TableGrid">
    <w:name w:val="Table Grid"/>
    <w:basedOn w:val="TableNormal"/>
    <w:uiPriority w:val="59"/>
    <w:rsid w:val="008E4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7B9E"/>
    <w:rPr>
      <w:color w:val="0000FF" w:themeColor="hyperlink"/>
      <w:u w:val="single"/>
    </w:rPr>
  </w:style>
  <w:style w:type="character" w:customStyle="1" w:styleId="NoSpacingChar">
    <w:name w:val="No Spacing Char"/>
    <w:basedOn w:val="DefaultParagraphFont"/>
    <w:link w:val="NoSpacing"/>
    <w:uiPriority w:val="1"/>
    <w:rsid w:val="00BB7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602B"/>
  </w:style>
  <w:style w:type="paragraph" w:styleId="Textodeglobo">
    <w:name w:val="Balloon Text"/>
    <w:basedOn w:val="Normal"/>
    <w:link w:val="TextodegloboCar"/>
    <w:uiPriority w:val="99"/>
    <w:semiHidden/>
    <w:unhideWhenUsed/>
    <w:rsid w:val="00EB3B88"/>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B88"/>
    <w:rPr>
      <w:rFonts w:ascii="Tahoma" w:hAnsi="Tahoma" w:cs="Tahoma"/>
      <w:sz w:val="16"/>
      <w:szCs w:val="16"/>
    </w:rPr>
  </w:style>
  <w:style w:type="paragraph" w:styleId="Textonotapie">
    <w:name w:val="footnote text"/>
    <w:basedOn w:val="Normal"/>
    <w:link w:val="TextonotapieCar"/>
    <w:uiPriority w:val="99"/>
    <w:semiHidden/>
    <w:unhideWhenUsed/>
    <w:rsid w:val="007314BD"/>
    <w:rPr>
      <w:sz w:val="20"/>
      <w:szCs w:val="20"/>
    </w:rPr>
  </w:style>
  <w:style w:type="character" w:customStyle="1" w:styleId="TextonotapieCar">
    <w:name w:val="Texto nota pie Car"/>
    <w:basedOn w:val="Fuentedeprrafopredeter"/>
    <w:link w:val="Textonotapie"/>
    <w:uiPriority w:val="99"/>
    <w:semiHidden/>
    <w:rsid w:val="007314BD"/>
    <w:rPr>
      <w:sz w:val="20"/>
      <w:szCs w:val="20"/>
    </w:rPr>
  </w:style>
  <w:style w:type="character" w:styleId="Refdenotaalpie">
    <w:name w:val="footnote reference"/>
    <w:basedOn w:val="Fuentedeprrafopredeter"/>
    <w:uiPriority w:val="99"/>
    <w:semiHidden/>
    <w:unhideWhenUsed/>
    <w:rsid w:val="007314BD"/>
    <w:rPr>
      <w:vertAlign w:val="superscript"/>
    </w:rPr>
  </w:style>
  <w:style w:type="paragraph" w:styleId="Encabezado">
    <w:name w:val="header"/>
    <w:basedOn w:val="Normal"/>
    <w:link w:val="EncabezadoCar"/>
    <w:uiPriority w:val="99"/>
    <w:unhideWhenUsed/>
    <w:rsid w:val="008E4DAF"/>
    <w:pPr>
      <w:tabs>
        <w:tab w:val="center" w:pos="4419"/>
        <w:tab w:val="right" w:pos="8838"/>
      </w:tabs>
    </w:pPr>
  </w:style>
  <w:style w:type="character" w:customStyle="1" w:styleId="EncabezadoCar">
    <w:name w:val="Encabezado Car"/>
    <w:basedOn w:val="Fuentedeprrafopredeter"/>
    <w:link w:val="Encabezado"/>
    <w:uiPriority w:val="99"/>
    <w:rsid w:val="008E4DAF"/>
  </w:style>
  <w:style w:type="paragraph" w:styleId="Piedepgina">
    <w:name w:val="footer"/>
    <w:basedOn w:val="Normal"/>
    <w:link w:val="PiedepginaCar"/>
    <w:uiPriority w:val="99"/>
    <w:unhideWhenUsed/>
    <w:rsid w:val="008E4DAF"/>
    <w:pPr>
      <w:tabs>
        <w:tab w:val="center" w:pos="4419"/>
        <w:tab w:val="right" w:pos="8838"/>
      </w:tabs>
    </w:pPr>
  </w:style>
  <w:style w:type="character" w:customStyle="1" w:styleId="PiedepginaCar">
    <w:name w:val="Pie de página Car"/>
    <w:basedOn w:val="Fuentedeprrafopredeter"/>
    <w:link w:val="Piedepgina"/>
    <w:uiPriority w:val="99"/>
    <w:rsid w:val="008E4DAF"/>
  </w:style>
  <w:style w:type="table" w:styleId="Tablaconcuadrcula">
    <w:name w:val="Table Grid"/>
    <w:basedOn w:val="Tablanormal"/>
    <w:uiPriority w:val="59"/>
    <w:rsid w:val="008E4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arlosbondone.com/teoria-del-tiempo-economico/aplicacion/teoria-economica-subjetiva-solidaria.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rlosbondone.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arlosbondone.com/teoria-del-tiempo-economico/aplicacion/teoria-economica-subjetiva-solidaria.html" TargetMode="External"/><Relationship Id="rId2" Type="http://schemas.openxmlformats.org/officeDocument/2006/relationships/hyperlink" Target="http://www.carlosbondone.com/teoria-del-tiempo-economico/aplicacion/teoria-economica-subjetiva-solidaria.html" TargetMode="External"/><Relationship Id="rId1" Type="http://schemas.openxmlformats.org/officeDocument/2006/relationships/hyperlink" Target="http://www.carlosbondone.com/teoria-del-tiempo-economico/aplicacion/teoria-de-la-riqueza-y-la-desocupac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4F0A-FBF4-4D9E-8CE6-2819647E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2495</TotalTime>
  <Pages>2</Pages>
  <Words>338</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GISELA GIARDINO</cp:lastModifiedBy>
  <cp:revision>14</cp:revision>
  <cp:lastPrinted>2019-01-08T17:21:00Z</cp:lastPrinted>
  <dcterms:created xsi:type="dcterms:W3CDTF">2019-01-02T21:02:00Z</dcterms:created>
  <dcterms:modified xsi:type="dcterms:W3CDTF">2019-04-09T12:53:00Z</dcterms:modified>
</cp:coreProperties>
</file>