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4A" w:rsidRPr="00766640" w:rsidRDefault="00766640" w:rsidP="00766640">
      <w:pPr>
        <w:pStyle w:val="NoSpacing"/>
        <w:jc w:val="center"/>
        <w:rPr>
          <w:sz w:val="24"/>
          <w:szCs w:val="24"/>
        </w:rPr>
      </w:pPr>
      <w:bookmarkStart w:id="0" w:name="_GoBack"/>
      <w:bookmarkEnd w:id="0"/>
      <w:r w:rsidRPr="00766640">
        <w:rPr>
          <w:sz w:val="24"/>
          <w:szCs w:val="24"/>
        </w:rPr>
        <w:t>TESS 0</w:t>
      </w:r>
      <w:r w:rsidR="00206ED6">
        <w:rPr>
          <w:sz w:val="24"/>
          <w:szCs w:val="24"/>
        </w:rPr>
        <w:t>8</w:t>
      </w:r>
      <w:r w:rsidRPr="00766640">
        <w:rPr>
          <w:sz w:val="24"/>
          <w:szCs w:val="24"/>
        </w:rPr>
        <w:t xml:space="preserve"> – </w:t>
      </w:r>
      <w:r w:rsidRPr="00766640">
        <w:rPr>
          <w:b/>
          <w:sz w:val="24"/>
          <w:szCs w:val="24"/>
        </w:rPr>
        <w:t>Relación FÁCTICA del intercambio</w:t>
      </w:r>
    </w:p>
    <w:p w:rsidR="00766640" w:rsidRDefault="00766640" w:rsidP="00766640">
      <w:pPr>
        <w:pStyle w:val="NoSpacing"/>
        <w:jc w:val="both"/>
        <w:rPr>
          <w:sz w:val="24"/>
          <w:szCs w:val="24"/>
        </w:rPr>
      </w:pPr>
    </w:p>
    <w:p w:rsidR="00766640" w:rsidRDefault="00766640" w:rsidP="00766640">
      <w:pPr>
        <w:pStyle w:val="NoSpacing"/>
        <w:ind w:firstLine="284"/>
        <w:jc w:val="both"/>
        <w:rPr>
          <w:sz w:val="24"/>
          <w:szCs w:val="24"/>
        </w:rPr>
      </w:pPr>
      <w:r>
        <w:rPr>
          <w:sz w:val="24"/>
          <w:szCs w:val="24"/>
        </w:rPr>
        <w:t>Habiendo tratado en TESS 0</w:t>
      </w:r>
      <w:r w:rsidR="00F25C78">
        <w:rPr>
          <w:sz w:val="24"/>
          <w:szCs w:val="24"/>
        </w:rPr>
        <w:t>7</w:t>
      </w:r>
      <w:r w:rsidR="00542F05">
        <w:rPr>
          <w:sz w:val="24"/>
          <w:szCs w:val="24"/>
        </w:rPr>
        <w:t xml:space="preserve"> la </w:t>
      </w:r>
      <w:r w:rsidRPr="00766640">
        <w:rPr>
          <w:i/>
          <w:sz w:val="24"/>
          <w:szCs w:val="24"/>
        </w:rPr>
        <w:t>Correlación CAUSAL del Intercambio</w:t>
      </w:r>
      <w:r>
        <w:rPr>
          <w:sz w:val="24"/>
          <w:szCs w:val="24"/>
        </w:rPr>
        <w:t xml:space="preserve">, ahora referimos a la </w:t>
      </w:r>
      <w:r w:rsidRPr="00542F05">
        <w:rPr>
          <w:i/>
          <w:sz w:val="24"/>
          <w:szCs w:val="24"/>
        </w:rPr>
        <w:t>Relación FÁCTICA del Intercambio</w:t>
      </w:r>
      <w:r>
        <w:rPr>
          <w:sz w:val="24"/>
          <w:szCs w:val="24"/>
        </w:rPr>
        <w:t xml:space="preserve">, también definida en la nueva </w:t>
      </w:r>
      <w:hyperlink r:id="rId7" w:history="1">
        <w:r w:rsidR="000F0F95" w:rsidRPr="00C57A80">
          <w:rPr>
            <w:rStyle w:val="Hyperlink"/>
            <w:rFonts w:ascii="Times New Roman" w:hAnsi="Times New Roman" w:cs="Times New Roman"/>
            <w:i/>
            <w:sz w:val="24"/>
            <w:szCs w:val="24"/>
          </w:rPr>
          <w:t>Teoría Económica Subjetiva Solidaria</w:t>
        </w:r>
      </w:hyperlink>
      <w:r w:rsidR="000F0F95">
        <w:rPr>
          <w:sz w:val="24"/>
          <w:szCs w:val="24"/>
        </w:rPr>
        <w:t xml:space="preserve"> </w:t>
      </w:r>
      <w:r>
        <w:rPr>
          <w:sz w:val="24"/>
          <w:szCs w:val="24"/>
        </w:rPr>
        <w:t>(TESS).</w:t>
      </w:r>
    </w:p>
    <w:p w:rsidR="00542F05" w:rsidRDefault="003C6B2D" w:rsidP="00766640">
      <w:pPr>
        <w:pStyle w:val="NoSpacing"/>
        <w:ind w:firstLine="284"/>
        <w:jc w:val="both"/>
        <w:rPr>
          <w:sz w:val="24"/>
          <w:szCs w:val="24"/>
        </w:rPr>
      </w:pPr>
      <w:r>
        <w:rPr>
          <w:sz w:val="24"/>
          <w:szCs w:val="24"/>
        </w:rPr>
        <w:t>La</w:t>
      </w:r>
      <w:r w:rsidR="00542F05">
        <w:rPr>
          <w:sz w:val="24"/>
          <w:szCs w:val="24"/>
        </w:rPr>
        <w:t xml:space="preserve"> TESS</w:t>
      </w:r>
      <w:r>
        <w:rPr>
          <w:sz w:val="24"/>
          <w:szCs w:val="24"/>
        </w:rPr>
        <w:t xml:space="preserve"> presenta la siguiente ecuación</w:t>
      </w:r>
      <w:r w:rsidR="00542F05">
        <w:rPr>
          <w:sz w:val="24"/>
          <w:szCs w:val="24"/>
        </w:rPr>
        <w:t xml:space="preserve">, </w:t>
      </w:r>
      <w:r>
        <w:rPr>
          <w:sz w:val="24"/>
          <w:szCs w:val="24"/>
        </w:rPr>
        <w:t>d</w:t>
      </w:r>
      <w:r w:rsidR="00542F05">
        <w:rPr>
          <w:sz w:val="24"/>
          <w:szCs w:val="24"/>
        </w:rPr>
        <w:t>el valor relativo de un bien económico</w:t>
      </w:r>
      <w:r>
        <w:rPr>
          <w:sz w:val="24"/>
          <w:szCs w:val="24"/>
        </w:rPr>
        <w:t xml:space="preserve"> (</w:t>
      </w:r>
      <w:r w:rsidRPr="003C6B2D">
        <w:rPr>
          <w:b/>
          <w:i/>
          <w:sz w:val="24"/>
          <w:szCs w:val="24"/>
        </w:rPr>
        <w:t>x</w:t>
      </w:r>
      <w:r>
        <w:rPr>
          <w:sz w:val="24"/>
          <w:szCs w:val="24"/>
        </w:rPr>
        <w:t>)</w:t>
      </w:r>
      <w:r w:rsidR="00542F05">
        <w:rPr>
          <w:sz w:val="24"/>
          <w:szCs w:val="24"/>
        </w:rPr>
        <w:t>, respecto de otro</w:t>
      </w:r>
      <w:r>
        <w:rPr>
          <w:sz w:val="24"/>
          <w:szCs w:val="24"/>
        </w:rPr>
        <w:t xml:space="preserve"> (</w:t>
      </w:r>
      <w:r w:rsidRPr="003C6B2D">
        <w:rPr>
          <w:b/>
          <w:i/>
          <w:sz w:val="24"/>
          <w:szCs w:val="24"/>
        </w:rPr>
        <w:t>y</w:t>
      </w:r>
      <w:r>
        <w:rPr>
          <w:sz w:val="24"/>
          <w:szCs w:val="24"/>
        </w:rPr>
        <w:t>)</w:t>
      </w:r>
      <w:r w:rsidR="00542F05">
        <w:rPr>
          <w:sz w:val="24"/>
          <w:szCs w:val="24"/>
        </w:rPr>
        <w:t xml:space="preserve">: </w:t>
      </w:r>
      <w:r w:rsidR="00542F05" w:rsidRPr="00542F05">
        <w:rPr>
          <w:rStyle w:val="FootnoteReference"/>
          <w:b/>
          <w:sz w:val="24"/>
          <w:szCs w:val="24"/>
        </w:rPr>
        <w:footnoteReference w:id="1"/>
      </w:r>
    </w:p>
    <w:p w:rsidR="00542F05" w:rsidRDefault="00542F05" w:rsidP="00766640">
      <w:pPr>
        <w:pStyle w:val="NoSpacing"/>
        <w:ind w:firstLine="284"/>
        <w:jc w:val="both"/>
        <w:rPr>
          <w:sz w:val="24"/>
          <w:szCs w:val="24"/>
        </w:rPr>
      </w:pPr>
    </w:p>
    <w:p w:rsidR="00542F05" w:rsidRPr="00542F05" w:rsidRDefault="00542F05" w:rsidP="00542F05">
      <w:pPr>
        <w:pStyle w:val="NoSpacing"/>
        <w:jc w:val="center"/>
        <w:rPr>
          <w:b/>
          <w:i/>
          <w:sz w:val="24"/>
          <w:szCs w:val="24"/>
        </w:rPr>
      </w:pPr>
      <w:r w:rsidRPr="00542F05">
        <w:rPr>
          <w:b/>
          <w:i/>
          <w:color w:val="FFFFFF" w:themeColor="background1"/>
          <w:sz w:val="16"/>
          <w:szCs w:val="16"/>
        </w:rPr>
        <w:t>.</w:t>
      </w:r>
      <w:r w:rsidRPr="00542F05">
        <w:rPr>
          <w:b/>
          <w:i/>
          <w:sz w:val="24"/>
          <w:szCs w:val="24"/>
        </w:rPr>
        <w:t>v</w:t>
      </w:r>
      <w:r w:rsidRPr="00542F05">
        <w:rPr>
          <w:b/>
          <w:i/>
          <w:sz w:val="24"/>
          <w:szCs w:val="24"/>
          <w:vertAlign w:val="subscript"/>
        </w:rPr>
        <w:t>x(y)</w:t>
      </w:r>
      <w:r w:rsidRPr="00542F05">
        <w:rPr>
          <w:b/>
          <w:i/>
          <w:sz w:val="24"/>
          <w:szCs w:val="24"/>
        </w:rPr>
        <w:t xml:space="preserve"> = P</w:t>
      </w:r>
      <w:r w:rsidRPr="00542F05">
        <w:rPr>
          <w:b/>
          <w:i/>
          <w:sz w:val="24"/>
          <w:szCs w:val="24"/>
          <w:vertAlign w:val="subscript"/>
        </w:rPr>
        <w:t>x(y)</w:t>
      </w:r>
      <w:r w:rsidRPr="00542F05">
        <w:rPr>
          <w:b/>
          <w:i/>
          <w:sz w:val="24"/>
          <w:szCs w:val="24"/>
        </w:rPr>
        <w:t xml:space="preserve"> * x</w:t>
      </w:r>
      <w:r w:rsidRPr="00542F05">
        <w:rPr>
          <w:b/>
          <w:i/>
          <w:sz w:val="24"/>
          <w:szCs w:val="24"/>
          <w:vertAlign w:val="subscript"/>
        </w:rPr>
        <w:t>t</w:t>
      </w:r>
      <w:r w:rsidRPr="00542F05">
        <w:rPr>
          <w:b/>
          <w:i/>
          <w:sz w:val="24"/>
          <w:szCs w:val="24"/>
        </w:rPr>
        <w:t xml:space="preserve"> / y</w:t>
      </w:r>
      <w:r w:rsidRPr="00542F05">
        <w:rPr>
          <w:b/>
          <w:i/>
          <w:sz w:val="24"/>
          <w:szCs w:val="24"/>
          <w:vertAlign w:val="subscript"/>
        </w:rPr>
        <w:t>t</w:t>
      </w:r>
    </w:p>
    <w:p w:rsidR="00542F05" w:rsidRDefault="00542F05" w:rsidP="00542F05">
      <w:pPr>
        <w:pStyle w:val="NoSpacing"/>
        <w:jc w:val="both"/>
        <w:rPr>
          <w:sz w:val="24"/>
          <w:szCs w:val="24"/>
        </w:rPr>
      </w:pPr>
    </w:p>
    <w:p w:rsidR="009C468B" w:rsidRDefault="009C468B" w:rsidP="00542F05">
      <w:pPr>
        <w:pStyle w:val="NoSpacing"/>
        <w:ind w:firstLine="284"/>
        <w:jc w:val="both"/>
        <w:rPr>
          <w:sz w:val="24"/>
          <w:szCs w:val="24"/>
        </w:rPr>
      </w:pPr>
      <w:r>
        <w:rPr>
          <w:sz w:val="24"/>
          <w:szCs w:val="24"/>
        </w:rPr>
        <w:t>Mediante esta ecuación deducimos que el valor relativo de un bien económico (</w:t>
      </w:r>
      <w:r w:rsidRPr="009C468B">
        <w:rPr>
          <w:b/>
          <w:i/>
          <w:sz w:val="24"/>
          <w:szCs w:val="24"/>
        </w:rPr>
        <w:t>x</w:t>
      </w:r>
      <w:r>
        <w:rPr>
          <w:sz w:val="24"/>
          <w:szCs w:val="24"/>
        </w:rPr>
        <w:t>) respecto de otro (</w:t>
      </w:r>
      <w:r w:rsidRPr="009C468B">
        <w:rPr>
          <w:b/>
          <w:i/>
          <w:sz w:val="24"/>
          <w:szCs w:val="24"/>
        </w:rPr>
        <w:t>y</w:t>
      </w:r>
      <w:r>
        <w:rPr>
          <w:sz w:val="24"/>
          <w:szCs w:val="24"/>
        </w:rPr>
        <w:t xml:space="preserve">), es mensurable en función de la </w:t>
      </w:r>
      <w:r w:rsidRPr="009C468B">
        <w:rPr>
          <w:i/>
          <w:sz w:val="24"/>
          <w:szCs w:val="24"/>
        </w:rPr>
        <w:t>utilidad</w:t>
      </w:r>
      <w:r>
        <w:rPr>
          <w:sz w:val="24"/>
          <w:szCs w:val="24"/>
        </w:rPr>
        <w:t xml:space="preserve">, en tanto dimensión del valor, que ambas manifestaciones de riqueza comparten </w:t>
      </w:r>
      <w:r w:rsidR="00810DE6" w:rsidRPr="00810DE6">
        <w:rPr>
          <w:rStyle w:val="FootnoteReference"/>
          <w:b/>
          <w:sz w:val="24"/>
          <w:szCs w:val="24"/>
        </w:rPr>
        <w:footnoteReference w:id="2"/>
      </w:r>
      <w:r w:rsidR="00810DE6">
        <w:rPr>
          <w:sz w:val="24"/>
          <w:szCs w:val="24"/>
        </w:rPr>
        <w:t xml:space="preserve"> </w:t>
      </w:r>
      <w:r>
        <w:rPr>
          <w:sz w:val="24"/>
          <w:szCs w:val="24"/>
        </w:rPr>
        <w:t>en el mundo económico que nos ocupa.</w:t>
      </w:r>
    </w:p>
    <w:p w:rsidR="004B6D85" w:rsidRDefault="004B6D85" w:rsidP="004B6D85">
      <w:pPr>
        <w:pStyle w:val="NoSpacing"/>
        <w:ind w:firstLine="284"/>
        <w:jc w:val="both"/>
        <w:rPr>
          <w:sz w:val="24"/>
          <w:szCs w:val="24"/>
        </w:rPr>
      </w:pPr>
      <w:r>
        <w:rPr>
          <w:sz w:val="24"/>
          <w:szCs w:val="24"/>
        </w:rPr>
        <w:t xml:space="preserve">De lo precedente se desprende que podemos calcular el valor mediante entidades observables: precios y cantidades totales de bienes económicos. PERO, dado que los precios son simples coeficientes de cantidades intercambiadas de ambos bienes económicos, deducimos que los valores relativos son mensurables mediante las cantidades de bienes económicos observadas: totales e intercambiadas </w:t>
      </w:r>
      <w:r w:rsidRPr="004B6D85">
        <w:rPr>
          <w:b/>
          <w:i/>
          <w:sz w:val="24"/>
          <w:szCs w:val="24"/>
        </w:rPr>
        <w:t>x</w:t>
      </w:r>
      <w:r w:rsidRPr="004B6D85">
        <w:rPr>
          <w:b/>
          <w:i/>
          <w:sz w:val="24"/>
          <w:szCs w:val="24"/>
          <w:vertAlign w:val="subscript"/>
        </w:rPr>
        <w:t>t</w:t>
      </w:r>
      <w:r>
        <w:rPr>
          <w:sz w:val="24"/>
          <w:szCs w:val="24"/>
        </w:rPr>
        <w:t xml:space="preserve">, </w:t>
      </w:r>
      <w:r w:rsidRPr="004B6D85">
        <w:rPr>
          <w:b/>
          <w:i/>
          <w:sz w:val="24"/>
          <w:szCs w:val="24"/>
        </w:rPr>
        <w:t>x</w:t>
      </w:r>
      <w:r w:rsidRPr="004B6D85">
        <w:rPr>
          <w:b/>
          <w:i/>
          <w:sz w:val="24"/>
          <w:szCs w:val="24"/>
          <w:vertAlign w:val="subscript"/>
        </w:rPr>
        <w:t>i</w:t>
      </w:r>
      <w:r>
        <w:rPr>
          <w:sz w:val="24"/>
          <w:szCs w:val="24"/>
        </w:rPr>
        <w:t xml:space="preserve">, </w:t>
      </w:r>
      <w:r>
        <w:rPr>
          <w:b/>
          <w:i/>
          <w:sz w:val="24"/>
          <w:szCs w:val="24"/>
        </w:rPr>
        <w:t>y</w:t>
      </w:r>
      <w:r w:rsidRPr="004B6D85">
        <w:rPr>
          <w:b/>
          <w:i/>
          <w:sz w:val="24"/>
          <w:szCs w:val="24"/>
          <w:vertAlign w:val="subscript"/>
        </w:rPr>
        <w:t>t</w:t>
      </w:r>
      <w:r>
        <w:rPr>
          <w:sz w:val="24"/>
          <w:szCs w:val="24"/>
        </w:rPr>
        <w:t xml:space="preserve"> e </w:t>
      </w:r>
      <w:r>
        <w:rPr>
          <w:b/>
          <w:i/>
          <w:sz w:val="24"/>
          <w:szCs w:val="24"/>
        </w:rPr>
        <w:t>y</w:t>
      </w:r>
      <w:r w:rsidRPr="004B6D85">
        <w:rPr>
          <w:b/>
          <w:i/>
          <w:sz w:val="24"/>
          <w:szCs w:val="24"/>
          <w:vertAlign w:val="subscript"/>
        </w:rPr>
        <w:t>i</w:t>
      </w:r>
      <w:r>
        <w:rPr>
          <w:sz w:val="24"/>
          <w:szCs w:val="24"/>
        </w:rPr>
        <w:t xml:space="preserve">. </w:t>
      </w:r>
      <w:r w:rsidRPr="004B6D85">
        <w:rPr>
          <w:rStyle w:val="FootnoteReference"/>
          <w:b/>
          <w:sz w:val="24"/>
          <w:szCs w:val="24"/>
        </w:rPr>
        <w:footnoteReference w:id="3"/>
      </w:r>
    </w:p>
    <w:p w:rsidR="008E02EB" w:rsidRDefault="004B6D85" w:rsidP="00542F05">
      <w:pPr>
        <w:pStyle w:val="NoSpacing"/>
        <w:ind w:firstLine="284"/>
        <w:jc w:val="both"/>
        <w:rPr>
          <w:sz w:val="24"/>
          <w:szCs w:val="24"/>
        </w:rPr>
      </w:pPr>
      <w:r>
        <w:rPr>
          <w:sz w:val="24"/>
          <w:szCs w:val="24"/>
        </w:rPr>
        <w:t xml:space="preserve">Con esta sencilla ecuación reflejamos lo que en la nueva </w:t>
      </w:r>
      <w:hyperlink r:id="rId8" w:history="1">
        <w:r w:rsidR="000F0F95" w:rsidRPr="00C57A80">
          <w:rPr>
            <w:rStyle w:val="Hyperlink"/>
            <w:rFonts w:ascii="Times New Roman" w:hAnsi="Times New Roman" w:cs="Times New Roman"/>
            <w:i/>
            <w:sz w:val="24"/>
            <w:szCs w:val="24"/>
          </w:rPr>
          <w:t>Teoría Económica Subjetiva Solidaria</w:t>
        </w:r>
      </w:hyperlink>
      <w:r w:rsidR="000F0F95">
        <w:rPr>
          <w:sz w:val="24"/>
          <w:szCs w:val="24"/>
        </w:rPr>
        <w:t xml:space="preserve"> </w:t>
      </w:r>
      <w:r>
        <w:rPr>
          <w:sz w:val="24"/>
          <w:szCs w:val="24"/>
        </w:rPr>
        <w:t xml:space="preserve">(TESS) dimos en llamar </w:t>
      </w:r>
      <w:r w:rsidRPr="004B6D85">
        <w:rPr>
          <w:b/>
          <w:sz w:val="24"/>
          <w:szCs w:val="24"/>
        </w:rPr>
        <w:t>Relación FÁCTICA del Intercambio</w:t>
      </w:r>
      <w:r>
        <w:rPr>
          <w:sz w:val="24"/>
          <w:szCs w:val="24"/>
        </w:rPr>
        <w:t>. Relación que mantiene las correlaciones destacadas entre valor y precio</w:t>
      </w:r>
      <w:r w:rsidR="008E02EB">
        <w:rPr>
          <w:sz w:val="24"/>
          <w:szCs w:val="24"/>
        </w:rPr>
        <w:t>, entre las cuales nos interesan estas:</w:t>
      </w:r>
    </w:p>
    <w:p w:rsidR="008E02EB" w:rsidRDefault="008E02EB" w:rsidP="00542F05">
      <w:pPr>
        <w:pStyle w:val="NoSpacing"/>
        <w:ind w:firstLine="284"/>
        <w:jc w:val="both"/>
        <w:rPr>
          <w:sz w:val="24"/>
          <w:szCs w:val="24"/>
        </w:rPr>
      </w:pPr>
    </w:p>
    <w:p w:rsidR="008E02EB" w:rsidRDefault="008E02EB" w:rsidP="008E02EB">
      <w:pPr>
        <w:pStyle w:val="NoSpacing"/>
        <w:jc w:val="center"/>
        <w:rPr>
          <w:sz w:val="24"/>
          <w:szCs w:val="24"/>
        </w:rPr>
      </w:pPr>
      <w:r w:rsidRPr="008E02EB">
        <w:rPr>
          <w:rFonts w:cstheme="minorHAnsi"/>
          <w:b/>
          <w:i/>
          <w:sz w:val="24"/>
          <w:szCs w:val="24"/>
        </w:rPr>
        <w:t>↑</w:t>
      </w:r>
      <w:r>
        <w:rPr>
          <w:b/>
          <w:i/>
          <w:sz w:val="24"/>
          <w:szCs w:val="24"/>
        </w:rPr>
        <w:t>P</w:t>
      </w:r>
      <w:r w:rsidRPr="008E02EB">
        <w:rPr>
          <w:b/>
          <w:i/>
          <w:sz w:val="24"/>
          <w:szCs w:val="24"/>
          <w:vertAlign w:val="subscript"/>
        </w:rPr>
        <w:t>x(y)</w:t>
      </w:r>
      <w:r w:rsidRPr="008E02EB">
        <w:rPr>
          <w:b/>
          <w:i/>
          <w:sz w:val="24"/>
          <w:szCs w:val="24"/>
        </w:rPr>
        <w:t xml:space="preserve"> </w:t>
      </w:r>
      <w:r w:rsidRPr="008E02EB">
        <w:rPr>
          <w:rFonts w:cstheme="minorHAnsi"/>
          <w:b/>
          <w:i/>
          <w:sz w:val="24"/>
          <w:szCs w:val="24"/>
        </w:rPr>
        <w:t>↔</w:t>
      </w:r>
      <w:r w:rsidRPr="008E02EB">
        <w:rPr>
          <w:b/>
          <w:i/>
          <w:sz w:val="24"/>
          <w:szCs w:val="24"/>
        </w:rPr>
        <w:t xml:space="preserve"> </w:t>
      </w:r>
      <w:r w:rsidRPr="008E02EB">
        <w:rPr>
          <w:rFonts w:cstheme="minorHAnsi"/>
          <w:b/>
          <w:i/>
          <w:sz w:val="24"/>
          <w:szCs w:val="24"/>
        </w:rPr>
        <w:t>↑</w:t>
      </w:r>
      <w:r w:rsidRPr="008E02EB">
        <w:rPr>
          <w:b/>
          <w:i/>
          <w:sz w:val="24"/>
          <w:szCs w:val="24"/>
        </w:rPr>
        <w:t>v</w:t>
      </w:r>
      <w:r w:rsidRPr="008E02EB">
        <w:rPr>
          <w:b/>
          <w:i/>
          <w:sz w:val="24"/>
          <w:szCs w:val="24"/>
          <w:vertAlign w:val="subscript"/>
        </w:rPr>
        <w:t>x(y)</w:t>
      </w:r>
      <w:r w:rsidRPr="008E02EB">
        <w:rPr>
          <w:b/>
          <w:i/>
          <w:sz w:val="24"/>
          <w:szCs w:val="24"/>
        </w:rPr>
        <w:t xml:space="preserve"> </w:t>
      </w:r>
      <w:r w:rsidRPr="008E02EB">
        <w:rPr>
          <w:rFonts w:cstheme="minorHAnsi"/>
          <w:b/>
          <w:i/>
          <w:sz w:val="24"/>
          <w:szCs w:val="24"/>
        </w:rPr>
        <w:t>↔</w:t>
      </w:r>
      <w:r w:rsidRPr="008E02EB">
        <w:rPr>
          <w:b/>
          <w:i/>
          <w:sz w:val="24"/>
          <w:szCs w:val="24"/>
        </w:rPr>
        <w:t xml:space="preserve"> </w:t>
      </w:r>
      <w:r>
        <w:rPr>
          <w:rFonts w:cstheme="minorHAnsi"/>
          <w:b/>
          <w:i/>
          <w:sz w:val="24"/>
          <w:szCs w:val="24"/>
        </w:rPr>
        <w:t>↓</w:t>
      </w:r>
      <w:r>
        <w:rPr>
          <w:b/>
          <w:i/>
          <w:sz w:val="24"/>
          <w:szCs w:val="24"/>
        </w:rPr>
        <w:t>x</w:t>
      </w:r>
      <w:r>
        <w:rPr>
          <w:b/>
          <w:i/>
          <w:sz w:val="24"/>
          <w:szCs w:val="24"/>
          <w:vertAlign w:val="subscript"/>
        </w:rPr>
        <w:t xml:space="preserve">i </w:t>
      </w:r>
      <w:r w:rsidRPr="008E02EB">
        <w:rPr>
          <w:b/>
          <w:i/>
          <w:sz w:val="24"/>
          <w:szCs w:val="24"/>
        </w:rPr>
        <w:t xml:space="preserve"> </w:t>
      </w:r>
      <w:r w:rsidRPr="008E02EB">
        <w:rPr>
          <w:rFonts w:cstheme="minorHAnsi"/>
          <w:b/>
          <w:i/>
          <w:sz w:val="24"/>
          <w:szCs w:val="24"/>
        </w:rPr>
        <w:t>↔</w:t>
      </w:r>
      <w:r w:rsidRPr="008E02EB">
        <w:rPr>
          <w:b/>
          <w:i/>
          <w:sz w:val="24"/>
          <w:szCs w:val="24"/>
        </w:rPr>
        <w:t xml:space="preserve"> </w:t>
      </w:r>
      <w:r w:rsidRPr="008E02EB">
        <w:rPr>
          <w:rFonts w:cstheme="minorHAnsi"/>
          <w:b/>
          <w:i/>
          <w:sz w:val="24"/>
          <w:szCs w:val="24"/>
        </w:rPr>
        <w:t>↑</w:t>
      </w:r>
      <w:r>
        <w:rPr>
          <w:b/>
          <w:i/>
          <w:sz w:val="24"/>
          <w:szCs w:val="24"/>
        </w:rPr>
        <w:t>y</w:t>
      </w:r>
      <w:r>
        <w:rPr>
          <w:b/>
          <w:i/>
          <w:sz w:val="24"/>
          <w:szCs w:val="24"/>
          <w:vertAlign w:val="subscript"/>
        </w:rPr>
        <w:t>i</w:t>
      </w:r>
    </w:p>
    <w:p w:rsidR="008E02EB" w:rsidRDefault="008E02EB" w:rsidP="00542F05">
      <w:pPr>
        <w:pStyle w:val="NoSpacing"/>
        <w:ind w:firstLine="284"/>
        <w:jc w:val="both"/>
        <w:rPr>
          <w:sz w:val="24"/>
          <w:szCs w:val="24"/>
        </w:rPr>
      </w:pPr>
    </w:p>
    <w:p w:rsidR="008E02EB" w:rsidRDefault="008E02EB" w:rsidP="00542F05">
      <w:pPr>
        <w:pStyle w:val="NoSpacing"/>
        <w:ind w:firstLine="284"/>
        <w:jc w:val="both"/>
        <w:rPr>
          <w:sz w:val="24"/>
          <w:szCs w:val="24"/>
        </w:rPr>
      </w:pPr>
      <w:r>
        <w:rPr>
          <w:sz w:val="24"/>
          <w:szCs w:val="24"/>
        </w:rPr>
        <w:t xml:space="preserve">Es decir, se mantiene la </w:t>
      </w:r>
      <w:r w:rsidRPr="008E02EB">
        <w:rPr>
          <w:b/>
          <w:i/>
          <w:sz w:val="24"/>
          <w:szCs w:val="24"/>
        </w:rPr>
        <w:t>correlación CRUZADA POSITIVA del intercambio</w:t>
      </w:r>
      <w:r w:rsidRPr="008E02EB">
        <w:rPr>
          <w:sz w:val="24"/>
          <w:szCs w:val="24"/>
        </w:rPr>
        <w:t xml:space="preserve">. </w:t>
      </w:r>
      <w:r w:rsidRPr="008E02EB">
        <w:rPr>
          <w:rStyle w:val="FootnoteReference"/>
          <w:b/>
          <w:sz w:val="24"/>
          <w:szCs w:val="24"/>
        </w:rPr>
        <w:footnoteReference w:id="4"/>
      </w:r>
      <w:r>
        <w:rPr>
          <w:sz w:val="24"/>
          <w:szCs w:val="24"/>
        </w:rPr>
        <w:t xml:space="preserve"> Dicha </w:t>
      </w:r>
      <w:r w:rsidR="00315D91">
        <w:rPr>
          <w:sz w:val="24"/>
          <w:szCs w:val="24"/>
        </w:rPr>
        <w:t xml:space="preserve">reflexión </w:t>
      </w:r>
      <w:r>
        <w:rPr>
          <w:sz w:val="24"/>
          <w:szCs w:val="24"/>
        </w:rPr>
        <w:t>encierra la trampa en la cual se vi</w:t>
      </w:r>
      <w:r w:rsidR="00315D91">
        <w:rPr>
          <w:sz w:val="24"/>
          <w:szCs w:val="24"/>
        </w:rPr>
        <w:t>o</w:t>
      </w:r>
      <w:r>
        <w:rPr>
          <w:sz w:val="24"/>
          <w:szCs w:val="24"/>
        </w:rPr>
        <w:t xml:space="preserve"> envuelta toda la teoría económica, causal de las instituciones generadora</w:t>
      </w:r>
      <w:r w:rsidR="00315D91">
        <w:rPr>
          <w:sz w:val="24"/>
          <w:szCs w:val="24"/>
        </w:rPr>
        <w:t>s</w:t>
      </w:r>
      <w:r>
        <w:rPr>
          <w:sz w:val="24"/>
          <w:szCs w:val="24"/>
        </w:rPr>
        <w:t xml:space="preserve"> de las recurrentes crisis económico</w:t>
      </w:r>
      <w:r w:rsidR="00315D91">
        <w:rPr>
          <w:sz w:val="24"/>
          <w:szCs w:val="24"/>
        </w:rPr>
        <w:t>-</w:t>
      </w:r>
      <w:r>
        <w:rPr>
          <w:sz w:val="24"/>
          <w:szCs w:val="24"/>
        </w:rPr>
        <w:t>sociales</w:t>
      </w:r>
      <w:r w:rsidR="00315D91">
        <w:rPr>
          <w:sz w:val="24"/>
          <w:szCs w:val="24"/>
        </w:rPr>
        <w:t>,</w:t>
      </w:r>
      <w:r>
        <w:rPr>
          <w:sz w:val="24"/>
          <w:szCs w:val="24"/>
        </w:rPr>
        <w:t xml:space="preserve"> </w:t>
      </w:r>
      <w:r w:rsidRPr="00315D91">
        <w:rPr>
          <w:rStyle w:val="FootnoteReference"/>
          <w:b/>
          <w:sz w:val="24"/>
          <w:szCs w:val="24"/>
        </w:rPr>
        <w:footnoteReference w:id="5"/>
      </w:r>
      <w:r w:rsidR="00315D91">
        <w:rPr>
          <w:sz w:val="24"/>
          <w:szCs w:val="24"/>
        </w:rPr>
        <w:t xml:space="preserve"> que desconcierta a gobernantes y gobernados.</w:t>
      </w:r>
    </w:p>
    <w:p w:rsidR="008E02EB" w:rsidRDefault="00315D91" w:rsidP="00542F05">
      <w:pPr>
        <w:pStyle w:val="NoSpacing"/>
        <w:ind w:firstLine="284"/>
        <w:jc w:val="both"/>
        <w:rPr>
          <w:sz w:val="24"/>
          <w:szCs w:val="24"/>
        </w:rPr>
      </w:pPr>
      <w:r>
        <w:rPr>
          <w:sz w:val="24"/>
          <w:szCs w:val="24"/>
        </w:rPr>
        <w:t xml:space="preserve">La </w:t>
      </w:r>
      <w:r w:rsidRPr="00315D91">
        <w:rPr>
          <w:i/>
          <w:sz w:val="24"/>
          <w:szCs w:val="24"/>
        </w:rPr>
        <w:t>correlación cruzada positiva del intercambio</w:t>
      </w:r>
      <w:r>
        <w:rPr>
          <w:sz w:val="24"/>
          <w:szCs w:val="24"/>
        </w:rPr>
        <w:t xml:space="preserve">, sin que la hayan precisado como lo hace la </w:t>
      </w:r>
      <w:hyperlink r:id="rId9" w:history="1">
        <w:r w:rsidR="000F0F95" w:rsidRPr="00C57A80">
          <w:rPr>
            <w:rStyle w:val="Hyperlink"/>
            <w:rFonts w:ascii="Times New Roman" w:hAnsi="Times New Roman" w:cs="Times New Roman"/>
            <w:i/>
            <w:sz w:val="24"/>
            <w:szCs w:val="24"/>
          </w:rPr>
          <w:t>Teoría Económica Subjetiva Solidaria</w:t>
        </w:r>
      </w:hyperlink>
      <w:r w:rsidR="000F0F95">
        <w:rPr>
          <w:sz w:val="24"/>
          <w:szCs w:val="24"/>
        </w:rPr>
        <w:t xml:space="preserve">  </w:t>
      </w:r>
      <w:r>
        <w:rPr>
          <w:sz w:val="24"/>
          <w:szCs w:val="24"/>
        </w:rPr>
        <w:t>(TESS), fue l</w:t>
      </w:r>
      <w:r w:rsidR="00090C83">
        <w:rPr>
          <w:sz w:val="24"/>
          <w:szCs w:val="24"/>
        </w:rPr>
        <w:t>a</w:t>
      </w:r>
      <w:r>
        <w:rPr>
          <w:sz w:val="24"/>
          <w:szCs w:val="24"/>
        </w:rPr>
        <w:t xml:space="preserve"> que llevó a J.S. Mill y Jevons a equiparar valor y precio</w:t>
      </w:r>
      <w:r w:rsidR="003C6B2D">
        <w:rPr>
          <w:sz w:val="24"/>
          <w:szCs w:val="24"/>
        </w:rPr>
        <w:t xml:space="preserve">, dando pie a las teorías que sustentan el origen de los precios en las curvas de oferta y demanda </w:t>
      </w:r>
      <w:r w:rsidR="003C6B2D">
        <w:rPr>
          <w:rFonts w:cstheme="minorHAnsi"/>
          <w:sz w:val="24"/>
          <w:szCs w:val="24"/>
        </w:rPr>
        <w:t>―</w:t>
      </w:r>
      <w:r w:rsidR="003C6B2D">
        <w:rPr>
          <w:sz w:val="24"/>
          <w:szCs w:val="24"/>
        </w:rPr>
        <w:t xml:space="preserve">a diferencia de la TESS que lo hace en función </w:t>
      </w:r>
      <w:r w:rsidR="0092156C">
        <w:rPr>
          <w:sz w:val="24"/>
          <w:szCs w:val="24"/>
        </w:rPr>
        <w:t xml:space="preserve">exclusiva </w:t>
      </w:r>
      <w:r w:rsidR="003C6B2D">
        <w:rPr>
          <w:sz w:val="24"/>
          <w:szCs w:val="24"/>
        </w:rPr>
        <w:t>de los valores relativos, la utilidad</w:t>
      </w:r>
      <w:r>
        <w:rPr>
          <w:sz w:val="24"/>
          <w:szCs w:val="24"/>
        </w:rPr>
        <w:t>.</w:t>
      </w:r>
      <w:r w:rsidR="003C6B2D">
        <w:rPr>
          <w:sz w:val="24"/>
          <w:szCs w:val="24"/>
        </w:rPr>
        <w:t xml:space="preserve"> </w:t>
      </w:r>
      <w:r w:rsidR="003C6B2D" w:rsidRPr="003C6B2D">
        <w:rPr>
          <w:rStyle w:val="FootnoteReference"/>
          <w:b/>
          <w:sz w:val="24"/>
          <w:szCs w:val="24"/>
        </w:rPr>
        <w:footnoteReference w:id="6"/>
      </w:r>
    </w:p>
    <w:p w:rsidR="00315D91" w:rsidRDefault="00315D91" w:rsidP="00542F05">
      <w:pPr>
        <w:pStyle w:val="NoSpacing"/>
        <w:ind w:firstLine="284"/>
        <w:jc w:val="both"/>
        <w:rPr>
          <w:sz w:val="24"/>
          <w:szCs w:val="24"/>
        </w:rPr>
      </w:pPr>
      <w:r>
        <w:rPr>
          <w:sz w:val="24"/>
          <w:szCs w:val="24"/>
        </w:rPr>
        <w:t>Veremos, en artículos elaborados al efecto</w:t>
      </w:r>
      <w:r w:rsidR="003C6B2D">
        <w:rPr>
          <w:sz w:val="24"/>
          <w:szCs w:val="24"/>
        </w:rPr>
        <w:t>,</w:t>
      </w:r>
      <w:r>
        <w:rPr>
          <w:sz w:val="24"/>
          <w:szCs w:val="24"/>
        </w:rPr>
        <w:t xml:space="preserve"> cómo la pretensión de </w:t>
      </w:r>
      <w:r w:rsidRPr="00315D91">
        <w:rPr>
          <w:i/>
          <w:sz w:val="24"/>
          <w:szCs w:val="24"/>
        </w:rPr>
        <w:t>dirigir</w:t>
      </w:r>
      <w:r>
        <w:rPr>
          <w:sz w:val="24"/>
          <w:szCs w:val="24"/>
        </w:rPr>
        <w:t xml:space="preserve"> la economía</w:t>
      </w:r>
      <w:r w:rsidR="00E15363">
        <w:rPr>
          <w:sz w:val="24"/>
          <w:szCs w:val="24"/>
        </w:rPr>
        <w:t>,</w:t>
      </w:r>
      <w:r>
        <w:rPr>
          <w:sz w:val="24"/>
          <w:szCs w:val="24"/>
        </w:rPr>
        <w:t xml:space="preserve"> </w:t>
      </w:r>
      <w:r w:rsidRPr="001B2F31">
        <w:rPr>
          <w:rStyle w:val="FootnoteReference"/>
          <w:b/>
          <w:sz w:val="24"/>
          <w:szCs w:val="24"/>
        </w:rPr>
        <w:footnoteReference w:id="7"/>
      </w:r>
      <w:r>
        <w:rPr>
          <w:sz w:val="24"/>
          <w:szCs w:val="24"/>
        </w:rPr>
        <w:t xml:space="preserve"> vía la </w:t>
      </w:r>
      <w:r>
        <w:rPr>
          <w:b/>
          <w:i/>
          <w:sz w:val="24"/>
          <w:szCs w:val="24"/>
        </w:rPr>
        <w:t xml:space="preserve">relación </w:t>
      </w:r>
      <w:r w:rsidRPr="00315D91">
        <w:rPr>
          <w:b/>
          <w:i/>
          <w:sz w:val="24"/>
          <w:szCs w:val="24"/>
        </w:rPr>
        <w:t>FÁCTICA del intercambio</w:t>
      </w:r>
      <w:r>
        <w:rPr>
          <w:sz w:val="24"/>
          <w:szCs w:val="24"/>
        </w:rPr>
        <w:t xml:space="preserve"> (control de precios, políticas monetarias-crediticias y fiscales, etc.), desvirtúa el mundo económico natural presente en la </w:t>
      </w:r>
      <w:r w:rsidRPr="00315D91">
        <w:rPr>
          <w:b/>
          <w:i/>
          <w:sz w:val="24"/>
          <w:szCs w:val="24"/>
        </w:rPr>
        <w:t>Correlación CAUSAL-NATURAL del Intercambio</w:t>
      </w:r>
      <w:r>
        <w:rPr>
          <w:sz w:val="24"/>
          <w:szCs w:val="24"/>
        </w:rPr>
        <w:t>.</w:t>
      </w:r>
    </w:p>
    <w:p w:rsidR="00E15363" w:rsidRDefault="00E15363" w:rsidP="00766640">
      <w:pPr>
        <w:pStyle w:val="NoSpacing"/>
        <w:ind w:firstLine="284"/>
        <w:jc w:val="both"/>
        <w:rPr>
          <w:sz w:val="24"/>
          <w:szCs w:val="24"/>
        </w:rPr>
      </w:pPr>
      <w:r>
        <w:rPr>
          <w:sz w:val="24"/>
          <w:szCs w:val="24"/>
        </w:rPr>
        <w:t xml:space="preserve">Bien podemos decir que el haber generado instituciones económicas, conforme relaciones fácticas que no surgen como corroboraciones de teorías adecuadas, es una de las tantas </w:t>
      </w:r>
      <w:r>
        <w:rPr>
          <w:sz w:val="24"/>
          <w:szCs w:val="24"/>
        </w:rPr>
        <w:lastRenderedPageBreak/>
        <w:t>expresiones del positivismo científico. La epistemología adecuada (Popper) es esencial para el elaborar teorías sólidas.</w:t>
      </w:r>
    </w:p>
    <w:p w:rsidR="00542F05" w:rsidRDefault="00E15363" w:rsidP="00766640">
      <w:pPr>
        <w:pStyle w:val="NoSpacing"/>
        <w:ind w:firstLine="284"/>
        <w:jc w:val="both"/>
        <w:rPr>
          <w:sz w:val="24"/>
          <w:szCs w:val="24"/>
        </w:rPr>
      </w:pPr>
      <w:r>
        <w:rPr>
          <w:sz w:val="24"/>
          <w:szCs w:val="24"/>
        </w:rPr>
        <w:t>R</w:t>
      </w:r>
      <w:r w:rsidR="003C6B2D">
        <w:rPr>
          <w:sz w:val="24"/>
          <w:szCs w:val="24"/>
        </w:rPr>
        <w:t>eiteramos una vez más</w:t>
      </w:r>
      <w:r>
        <w:rPr>
          <w:sz w:val="24"/>
          <w:szCs w:val="24"/>
        </w:rPr>
        <w:t>:</w:t>
      </w:r>
    </w:p>
    <w:p w:rsidR="003C6B2D" w:rsidRDefault="003C6B2D" w:rsidP="00766640">
      <w:pPr>
        <w:pStyle w:val="NoSpacing"/>
        <w:ind w:firstLine="284"/>
        <w:jc w:val="both"/>
        <w:rPr>
          <w:sz w:val="24"/>
          <w:szCs w:val="24"/>
        </w:rPr>
      </w:pPr>
    </w:p>
    <w:p w:rsidR="00E15363" w:rsidRDefault="00E15363" w:rsidP="003C6B2D">
      <w:pPr>
        <w:pStyle w:val="NoSpacing"/>
        <w:ind w:firstLine="284"/>
        <w:jc w:val="both"/>
        <w:rPr>
          <w:b/>
          <w:sz w:val="24"/>
          <w:szCs w:val="24"/>
        </w:rPr>
      </w:pPr>
      <w:r w:rsidRPr="00E15363">
        <w:rPr>
          <w:b/>
          <w:sz w:val="24"/>
          <w:szCs w:val="24"/>
        </w:rPr>
        <w:t>Las teorías desacertadas provoca</w:t>
      </w:r>
      <w:r w:rsidR="003C6B2D">
        <w:rPr>
          <w:b/>
          <w:sz w:val="24"/>
          <w:szCs w:val="24"/>
        </w:rPr>
        <w:t>n</w:t>
      </w:r>
      <w:r w:rsidRPr="00E15363">
        <w:rPr>
          <w:b/>
          <w:sz w:val="24"/>
          <w:szCs w:val="24"/>
        </w:rPr>
        <w:t xml:space="preserve"> desastres de lesa humanidad</w:t>
      </w:r>
      <w:r>
        <w:rPr>
          <w:b/>
          <w:sz w:val="24"/>
          <w:szCs w:val="24"/>
        </w:rPr>
        <w:t>, mayores</w:t>
      </w:r>
      <w:r w:rsidRPr="00E15363">
        <w:rPr>
          <w:b/>
          <w:sz w:val="24"/>
          <w:szCs w:val="24"/>
        </w:rPr>
        <w:t xml:space="preserve"> que cualquier otro flagelo.</w:t>
      </w:r>
    </w:p>
    <w:p w:rsidR="00E15363" w:rsidRDefault="00E15363" w:rsidP="003C6B2D">
      <w:pPr>
        <w:pStyle w:val="NoSpacing"/>
        <w:ind w:firstLine="284"/>
        <w:jc w:val="both"/>
        <w:rPr>
          <w:sz w:val="24"/>
          <w:szCs w:val="24"/>
        </w:rPr>
      </w:pPr>
      <w:r w:rsidRPr="00E15363">
        <w:rPr>
          <w:b/>
          <w:sz w:val="24"/>
          <w:szCs w:val="24"/>
        </w:rPr>
        <w:t xml:space="preserve">En economía lo </w:t>
      </w:r>
      <w:r>
        <w:rPr>
          <w:b/>
          <w:sz w:val="24"/>
          <w:szCs w:val="24"/>
        </w:rPr>
        <w:t xml:space="preserve">produjeron, y siguen produciendo, </w:t>
      </w:r>
      <w:r w:rsidR="000B741A">
        <w:rPr>
          <w:b/>
          <w:sz w:val="24"/>
          <w:szCs w:val="24"/>
        </w:rPr>
        <w:t xml:space="preserve">las elaboradas </w:t>
      </w:r>
      <w:r w:rsidRPr="00E15363">
        <w:rPr>
          <w:b/>
          <w:sz w:val="24"/>
          <w:szCs w:val="24"/>
        </w:rPr>
        <w:t>en función de la fallida teoría del valor objetivo</w:t>
      </w:r>
      <w:r w:rsidR="000B741A">
        <w:rPr>
          <w:b/>
          <w:sz w:val="24"/>
          <w:szCs w:val="24"/>
        </w:rPr>
        <w:t xml:space="preserve"> (cantidades), en lugar de hacerlo en función de la presencia humana </w:t>
      </w:r>
      <w:r w:rsidR="003C6B2D">
        <w:rPr>
          <w:b/>
          <w:sz w:val="24"/>
          <w:szCs w:val="24"/>
        </w:rPr>
        <w:t xml:space="preserve">presente en la teoría del valor subjetivo. El </w:t>
      </w:r>
      <w:r w:rsidR="000B741A">
        <w:rPr>
          <w:b/>
          <w:sz w:val="24"/>
          <w:szCs w:val="24"/>
        </w:rPr>
        <w:t>humanismo de los valores</w:t>
      </w:r>
      <w:r w:rsidR="003C6B2D">
        <w:rPr>
          <w:b/>
          <w:sz w:val="24"/>
          <w:szCs w:val="24"/>
        </w:rPr>
        <w:t xml:space="preserve"> versus el materialismo de las cantidades (precios</w:t>
      </w:r>
      <w:r w:rsidR="000B741A">
        <w:rPr>
          <w:b/>
          <w:sz w:val="24"/>
          <w:szCs w:val="24"/>
        </w:rPr>
        <w:t>)</w:t>
      </w:r>
      <w:r>
        <w:rPr>
          <w:sz w:val="24"/>
          <w:szCs w:val="24"/>
        </w:rPr>
        <w:t>.</w:t>
      </w:r>
    </w:p>
    <w:p w:rsidR="00E15363" w:rsidRDefault="00E15363" w:rsidP="00766640">
      <w:pPr>
        <w:pStyle w:val="NoSpacing"/>
        <w:ind w:firstLine="284"/>
        <w:jc w:val="both"/>
        <w:rPr>
          <w:sz w:val="24"/>
          <w:szCs w:val="24"/>
        </w:rPr>
      </w:pPr>
    </w:p>
    <w:p w:rsidR="00E15363" w:rsidRDefault="00E15363" w:rsidP="00766640">
      <w:pPr>
        <w:pStyle w:val="NoSpacing"/>
        <w:ind w:firstLine="284"/>
        <w:jc w:val="both"/>
        <w:rPr>
          <w:sz w:val="24"/>
          <w:szCs w:val="24"/>
        </w:rPr>
      </w:pPr>
    </w:p>
    <w:p w:rsidR="00E15363" w:rsidRDefault="00E15363" w:rsidP="00766640">
      <w:pPr>
        <w:pStyle w:val="NoSpacing"/>
        <w:ind w:firstLine="284"/>
        <w:jc w:val="both"/>
        <w:rPr>
          <w:sz w:val="24"/>
          <w:szCs w:val="24"/>
        </w:rPr>
      </w:pPr>
    </w:p>
    <w:p w:rsidR="003C6B2D" w:rsidRDefault="003C6B2D" w:rsidP="00766640">
      <w:pPr>
        <w:pStyle w:val="NoSpacing"/>
        <w:ind w:firstLine="284"/>
        <w:jc w:val="both"/>
        <w:rPr>
          <w:sz w:val="24"/>
          <w:szCs w:val="24"/>
        </w:rPr>
      </w:pPr>
    </w:p>
    <w:p w:rsidR="00766640" w:rsidRPr="00766640" w:rsidRDefault="00E15363" w:rsidP="003C6B2D">
      <w:pPr>
        <w:pStyle w:val="NoSpacing"/>
        <w:jc w:val="right"/>
        <w:rPr>
          <w:sz w:val="24"/>
          <w:szCs w:val="24"/>
        </w:rPr>
      </w:pPr>
      <w:r>
        <w:rPr>
          <w:sz w:val="24"/>
          <w:szCs w:val="24"/>
        </w:rPr>
        <w:t>Carlos A. Bondone</w:t>
      </w:r>
    </w:p>
    <w:sectPr w:rsidR="00766640" w:rsidRPr="00766640" w:rsidSect="00766640">
      <w:footerReference w:type="default" r:id="rId10"/>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C3" w:rsidRDefault="00B530C3" w:rsidP="00542F05">
      <w:r>
        <w:separator/>
      </w:r>
    </w:p>
  </w:endnote>
  <w:endnote w:type="continuationSeparator" w:id="0">
    <w:p w:rsidR="00B530C3" w:rsidRDefault="00B530C3" w:rsidP="00542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96"/>
      <w:gridCol w:w="2122"/>
      <w:gridCol w:w="3796"/>
    </w:tblGrid>
    <w:tr w:rsidR="000F0F95" w:rsidTr="00B81F82">
      <w:trPr>
        <w:trHeight w:val="273"/>
      </w:trPr>
      <w:tc>
        <w:tcPr>
          <w:tcW w:w="2250" w:type="pct"/>
          <w:tcBorders>
            <w:bottom w:val="single" w:sz="4" w:space="0" w:color="4F81BD" w:themeColor="accent1"/>
          </w:tcBorders>
        </w:tcPr>
        <w:p w:rsidR="000F0F95" w:rsidRDefault="000F0F95" w:rsidP="00B81F82">
          <w:pPr>
            <w:pStyle w:val="Header"/>
            <w:rPr>
              <w:rFonts w:asciiTheme="majorHAnsi" w:eastAsiaTheme="majorEastAsia" w:hAnsiTheme="majorHAnsi" w:cstheme="majorBidi"/>
              <w:b/>
              <w:bCs/>
            </w:rPr>
          </w:pPr>
        </w:p>
      </w:tc>
      <w:tc>
        <w:tcPr>
          <w:tcW w:w="500" w:type="pct"/>
          <w:vMerge w:val="restart"/>
          <w:noWrap/>
          <w:vAlign w:val="center"/>
        </w:tcPr>
        <w:p w:rsidR="000F0F95" w:rsidRPr="00380F21" w:rsidRDefault="000F0F95" w:rsidP="00B81F82">
          <w:pPr>
            <w:pStyle w:val="NoSpacing"/>
            <w:jc w:val="center"/>
            <w:rPr>
              <w:rFonts w:asciiTheme="majorHAnsi" w:hAnsiTheme="majorHAnsi"/>
            </w:rPr>
          </w:pPr>
          <w:r w:rsidRPr="00380F21">
            <w:rPr>
              <w:rFonts w:ascii="Corbel" w:hAnsi="Corbel" w:cstheme="majorHAnsi"/>
              <w:sz w:val="18"/>
            </w:rPr>
            <w:fldChar w:fldCharType="begin"/>
          </w:r>
          <w:r w:rsidRPr="00380F21">
            <w:rPr>
              <w:rFonts w:ascii="Corbel" w:hAnsi="Corbel" w:cstheme="majorHAnsi"/>
              <w:sz w:val="18"/>
            </w:rPr>
            <w:instrText xml:space="preserve"> PAGE  \* MERGEFORMAT </w:instrText>
          </w:r>
          <w:r w:rsidRPr="00380F21">
            <w:rPr>
              <w:rFonts w:ascii="Corbel" w:hAnsi="Corbel" w:cstheme="majorHAnsi"/>
              <w:sz w:val="18"/>
            </w:rPr>
            <w:fldChar w:fldCharType="separate"/>
          </w:r>
          <w:r>
            <w:rPr>
              <w:rFonts w:ascii="Corbel" w:hAnsi="Corbel" w:cstheme="majorHAnsi"/>
              <w:noProof/>
              <w:sz w:val="18"/>
            </w:rPr>
            <w:t>1</w:t>
          </w:r>
          <w:r w:rsidRPr="00380F21">
            <w:rPr>
              <w:rFonts w:ascii="Corbel" w:hAnsi="Corbel" w:cstheme="majorHAnsi"/>
              <w:sz w:val="18"/>
            </w:rPr>
            <w:fldChar w:fldCharType="end"/>
          </w:r>
          <w:r>
            <w:rPr>
              <w:rFonts w:ascii="Corbel" w:hAnsi="Corbel" w:cstheme="majorHAnsi"/>
              <w:sz w:val="18"/>
            </w:rPr>
            <w:t xml:space="preserve"> </w:t>
          </w:r>
          <w:r>
            <w:rPr>
              <w:rFonts w:ascii="Corbel" w:hAnsi="Corbel" w:cstheme="majorHAnsi"/>
              <w:sz w:val="18"/>
            </w:rPr>
            <w:br/>
          </w:r>
          <w:hyperlink r:id="rId1" w:history="1">
            <w:r w:rsidRPr="003C5E5F">
              <w:rPr>
                <w:rStyle w:val="Hyperlink"/>
                <w:rFonts w:ascii="Corbel" w:hAnsi="Corbel" w:cstheme="majorHAnsi"/>
                <w:sz w:val="18"/>
              </w:rPr>
              <w:t>www.carlosbondone.com</w:t>
            </w:r>
          </w:hyperlink>
        </w:p>
      </w:tc>
      <w:tc>
        <w:tcPr>
          <w:tcW w:w="2250" w:type="pct"/>
          <w:tcBorders>
            <w:bottom w:val="single" w:sz="4" w:space="0" w:color="4F81BD" w:themeColor="accent1"/>
          </w:tcBorders>
        </w:tcPr>
        <w:p w:rsidR="000F0F95" w:rsidRPr="00380F21" w:rsidRDefault="000F0F95" w:rsidP="00B81F82">
          <w:pPr>
            <w:pStyle w:val="Header"/>
            <w:rPr>
              <w:rFonts w:asciiTheme="majorHAnsi" w:eastAsiaTheme="majorEastAsia" w:hAnsiTheme="majorHAnsi" w:cstheme="majorBidi"/>
              <w:b/>
              <w:bCs/>
            </w:rPr>
          </w:pPr>
        </w:p>
      </w:tc>
    </w:tr>
    <w:tr w:rsidR="000F0F95" w:rsidTr="00B81F82">
      <w:trPr>
        <w:trHeight w:val="150"/>
      </w:trPr>
      <w:tc>
        <w:tcPr>
          <w:tcW w:w="2250" w:type="pct"/>
          <w:tcBorders>
            <w:top w:val="single" w:sz="4" w:space="0" w:color="4F81BD" w:themeColor="accent1"/>
          </w:tcBorders>
        </w:tcPr>
        <w:p w:rsidR="000F0F95" w:rsidRDefault="000F0F95" w:rsidP="00B81F82">
          <w:pPr>
            <w:pStyle w:val="Header"/>
            <w:rPr>
              <w:rFonts w:asciiTheme="majorHAnsi" w:eastAsiaTheme="majorEastAsia" w:hAnsiTheme="majorHAnsi" w:cstheme="majorBidi"/>
              <w:b/>
              <w:bCs/>
            </w:rPr>
          </w:pPr>
        </w:p>
      </w:tc>
      <w:tc>
        <w:tcPr>
          <w:tcW w:w="500" w:type="pct"/>
          <w:vMerge/>
        </w:tcPr>
        <w:p w:rsidR="000F0F95" w:rsidRPr="00380F21" w:rsidRDefault="000F0F95" w:rsidP="00B81F8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F0F95" w:rsidRPr="00380F21" w:rsidRDefault="000F0F95" w:rsidP="00B81F82">
          <w:pPr>
            <w:pStyle w:val="Header"/>
            <w:rPr>
              <w:rFonts w:asciiTheme="majorHAnsi" w:eastAsiaTheme="majorEastAsia" w:hAnsiTheme="majorHAnsi" w:cstheme="majorBidi"/>
              <w:b/>
              <w:bCs/>
            </w:rPr>
          </w:pPr>
        </w:p>
      </w:tc>
    </w:tr>
  </w:tbl>
  <w:p w:rsidR="00E15363" w:rsidRDefault="00E15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C3" w:rsidRDefault="00B530C3" w:rsidP="00542F05">
      <w:r>
        <w:separator/>
      </w:r>
    </w:p>
  </w:footnote>
  <w:footnote w:type="continuationSeparator" w:id="0">
    <w:p w:rsidR="00B530C3" w:rsidRDefault="00B530C3" w:rsidP="00542F05">
      <w:r>
        <w:continuationSeparator/>
      </w:r>
    </w:p>
  </w:footnote>
  <w:footnote w:id="1">
    <w:p w:rsidR="00542F05" w:rsidRPr="00542F05" w:rsidRDefault="00542F05" w:rsidP="00542F05">
      <w:pPr>
        <w:pStyle w:val="NoSpacing"/>
        <w:rPr>
          <w:sz w:val="18"/>
          <w:szCs w:val="18"/>
        </w:rPr>
      </w:pPr>
      <w:r w:rsidRPr="00542F05">
        <w:rPr>
          <w:rStyle w:val="FootnoteReference"/>
          <w:b/>
          <w:sz w:val="18"/>
          <w:szCs w:val="18"/>
        </w:rPr>
        <w:footnoteRef/>
      </w:r>
      <w:r w:rsidRPr="00542F05">
        <w:rPr>
          <w:sz w:val="18"/>
          <w:szCs w:val="18"/>
        </w:rPr>
        <w:t xml:space="preserve"> Entre otras tantas formas, conforme a la Tabla 5 de </w:t>
      </w:r>
      <w:r w:rsidRPr="00542F05">
        <w:rPr>
          <w:i/>
          <w:sz w:val="18"/>
          <w:szCs w:val="18"/>
        </w:rPr>
        <w:t>Teoría Económica Subjetiva Solidaria</w:t>
      </w:r>
      <w:r w:rsidRPr="00542F05">
        <w:rPr>
          <w:sz w:val="18"/>
          <w:szCs w:val="18"/>
        </w:rPr>
        <w:t xml:space="preserve"> (TESS).</w:t>
      </w:r>
    </w:p>
  </w:footnote>
  <w:footnote w:id="2">
    <w:p w:rsidR="00810DE6" w:rsidRPr="00810DE6" w:rsidRDefault="00810DE6" w:rsidP="00810DE6">
      <w:pPr>
        <w:pStyle w:val="NoSpacing"/>
        <w:jc w:val="both"/>
        <w:rPr>
          <w:sz w:val="18"/>
          <w:szCs w:val="18"/>
        </w:rPr>
      </w:pPr>
      <w:r w:rsidRPr="00810DE6">
        <w:rPr>
          <w:rStyle w:val="FootnoteReference"/>
          <w:b/>
          <w:sz w:val="18"/>
          <w:szCs w:val="18"/>
        </w:rPr>
        <w:footnoteRef/>
      </w:r>
      <w:r w:rsidRPr="00810DE6">
        <w:rPr>
          <w:sz w:val="18"/>
          <w:szCs w:val="18"/>
        </w:rPr>
        <w:t xml:space="preserve"> La dimensión de una entidad (riqueza-valor) implica carácter transitivo que permite comparar los diversos elementos de esa entidad (distintas manifestaciones de riqueza-valor).</w:t>
      </w:r>
    </w:p>
  </w:footnote>
  <w:footnote w:id="3">
    <w:p w:rsidR="004B6D85" w:rsidRDefault="004B6D85" w:rsidP="008E02EB">
      <w:pPr>
        <w:pStyle w:val="NoSpacing"/>
        <w:jc w:val="both"/>
      </w:pPr>
      <w:r w:rsidRPr="004B6D85">
        <w:rPr>
          <w:rStyle w:val="FootnoteReference"/>
          <w:b/>
          <w:sz w:val="18"/>
          <w:szCs w:val="18"/>
        </w:rPr>
        <w:footnoteRef/>
      </w:r>
      <w:r w:rsidRPr="004B6D85">
        <w:rPr>
          <w:sz w:val="18"/>
          <w:szCs w:val="18"/>
        </w:rPr>
        <w:t xml:space="preserve"> Luego, podemos re-expresar la ecuación así: </w:t>
      </w:r>
      <w:r w:rsidRPr="004B6D85">
        <w:rPr>
          <w:b/>
          <w:i/>
          <w:color w:val="FFFFFF" w:themeColor="background1"/>
          <w:sz w:val="18"/>
          <w:szCs w:val="18"/>
        </w:rPr>
        <w:t>.</w:t>
      </w:r>
      <w:r w:rsidRPr="004B6D85">
        <w:rPr>
          <w:b/>
          <w:i/>
          <w:sz w:val="18"/>
          <w:szCs w:val="18"/>
        </w:rPr>
        <w:t>v</w:t>
      </w:r>
      <w:r w:rsidRPr="004B6D85">
        <w:rPr>
          <w:b/>
          <w:i/>
          <w:sz w:val="18"/>
          <w:szCs w:val="18"/>
          <w:vertAlign w:val="subscript"/>
        </w:rPr>
        <w:t>x(y)</w:t>
      </w:r>
      <w:r w:rsidRPr="004B6D85">
        <w:rPr>
          <w:b/>
          <w:i/>
          <w:sz w:val="18"/>
          <w:szCs w:val="18"/>
        </w:rPr>
        <w:t xml:space="preserve"> = y</w:t>
      </w:r>
      <w:r w:rsidRPr="004B6D85">
        <w:rPr>
          <w:b/>
          <w:i/>
          <w:sz w:val="18"/>
          <w:szCs w:val="18"/>
          <w:vertAlign w:val="subscript"/>
        </w:rPr>
        <w:t xml:space="preserve">i </w:t>
      </w:r>
      <w:r w:rsidRPr="004B6D85">
        <w:rPr>
          <w:b/>
          <w:i/>
          <w:sz w:val="18"/>
          <w:szCs w:val="18"/>
        </w:rPr>
        <w:t>/ x</w:t>
      </w:r>
      <w:r w:rsidRPr="004B6D85">
        <w:rPr>
          <w:b/>
          <w:i/>
          <w:sz w:val="18"/>
          <w:szCs w:val="18"/>
          <w:vertAlign w:val="subscript"/>
        </w:rPr>
        <w:t>i</w:t>
      </w:r>
      <w:r w:rsidRPr="004B6D85">
        <w:rPr>
          <w:b/>
          <w:i/>
          <w:sz w:val="18"/>
          <w:szCs w:val="18"/>
        </w:rPr>
        <w:t xml:space="preserve"> * x</w:t>
      </w:r>
      <w:r w:rsidRPr="004B6D85">
        <w:rPr>
          <w:b/>
          <w:i/>
          <w:sz w:val="18"/>
          <w:szCs w:val="18"/>
          <w:vertAlign w:val="subscript"/>
        </w:rPr>
        <w:t>t</w:t>
      </w:r>
      <w:r w:rsidRPr="004B6D85">
        <w:rPr>
          <w:b/>
          <w:i/>
          <w:sz w:val="18"/>
          <w:szCs w:val="18"/>
        </w:rPr>
        <w:t xml:space="preserve"> / y</w:t>
      </w:r>
      <w:r w:rsidRPr="004B6D85">
        <w:rPr>
          <w:b/>
          <w:i/>
          <w:sz w:val="18"/>
          <w:szCs w:val="18"/>
          <w:vertAlign w:val="subscript"/>
        </w:rPr>
        <w:t>t</w:t>
      </w:r>
      <w:r w:rsidRPr="004B6D85">
        <w:rPr>
          <w:b/>
          <w:sz w:val="18"/>
          <w:szCs w:val="18"/>
        </w:rPr>
        <w:t>.</w:t>
      </w:r>
    </w:p>
  </w:footnote>
  <w:footnote w:id="4">
    <w:p w:rsidR="008E02EB" w:rsidRPr="008E02EB" w:rsidRDefault="008E02EB" w:rsidP="008E02EB">
      <w:pPr>
        <w:pStyle w:val="NoSpacing"/>
        <w:jc w:val="both"/>
        <w:rPr>
          <w:sz w:val="18"/>
          <w:szCs w:val="18"/>
        </w:rPr>
      </w:pPr>
      <w:r w:rsidRPr="008E02EB">
        <w:rPr>
          <w:rStyle w:val="FootnoteReference"/>
          <w:b/>
          <w:sz w:val="18"/>
          <w:szCs w:val="18"/>
          <w:vertAlign w:val="baseline"/>
        </w:rPr>
        <w:footnoteRef/>
      </w:r>
      <w:r w:rsidRPr="008E02EB">
        <w:rPr>
          <w:sz w:val="18"/>
          <w:szCs w:val="18"/>
        </w:rPr>
        <w:t xml:space="preserve"> Definida por la nueva </w:t>
      </w:r>
      <w:r w:rsidRPr="008E02EB">
        <w:rPr>
          <w:i/>
          <w:sz w:val="18"/>
          <w:szCs w:val="18"/>
        </w:rPr>
        <w:t>Teoría Económica Subjetiva Solidaria</w:t>
      </w:r>
      <w:r w:rsidRPr="008E02EB">
        <w:rPr>
          <w:sz w:val="18"/>
          <w:szCs w:val="18"/>
        </w:rPr>
        <w:t xml:space="preserve"> (TESS). </w:t>
      </w:r>
    </w:p>
  </w:footnote>
  <w:footnote w:id="5">
    <w:p w:rsidR="008E02EB" w:rsidRPr="00315D91" w:rsidRDefault="008E02EB" w:rsidP="00315D91">
      <w:pPr>
        <w:pStyle w:val="NoSpacing"/>
        <w:jc w:val="both"/>
        <w:rPr>
          <w:sz w:val="18"/>
          <w:szCs w:val="18"/>
        </w:rPr>
      </w:pPr>
      <w:r w:rsidRPr="00315D91">
        <w:rPr>
          <w:rStyle w:val="FootnoteReference"/>
          <w:b/>
          <w:sz w:val="18"/>
          <w:szCs w:val="18"/>
        </w:rPr>
        <w:footnoteRef/>
      </w:r>
      <w:r w:rsidRPr="00315D91">
        <w:rPr>
          <w:sz w:val="18"/>
          <w:szCs w:val="18"/>
        </w:rPr>
        <w:t xml:space="preserve"> Después de las cuales se observa </w:t>
      </w:r>
      <w:r w:rsidR="00315D91" w:rsidRPr="00315D91">
        <w:rPr>
          <w:b/>
          <w:sz w:val="18"/>
          <w:szCs w:val="18"/>
        </w:rPr>
        <w:t>ineficiencia</w:t>
      </w:r>
      <w:r w:rsidR="00315D91">
        <w:rPr>
          <w:b/>
          <w:sz w:val="18"/>
          <w:szCs w:val="18"/>
        </w:rPr>
        <w:t xml:space="preserve"> e</w:t>
      </w:r>
      <w:r w:rsidR="00315D91">
        <w:rPr>
          <w:sz w:val="18"/>
          <w:szCs w:val="18"/>
        </w:rPr>
        <w:t xml:space="preserve"> </w:t>
      </w:r>
      <w:r w:rsidRPr="00315D91">
        <w:rPr>
          <w:b/>
          <w:sz w:val="18"/>
          <w:szCs w:val="18"/>
        </w:rPr>
        <w:t>inequidad</w:t>
      </w:r>
      <w:r w:rsidR="00315D91">
        <w:rPr>
          <w:sz w:val="18"/>
          <w:szCs w:val="18"/>
        </w:rPr>
        <w:t xml:space="preserve">: </w:t>
      </w:r>
      <w:r w:rsidRPr="00315D91">
        <w:rPr>
          <w:b/>
          <w:sz w:val="18"/>
          <w:szCs w:val="18"/>
        </w:rPr>
        <w:t>destrucción y concentración propietaria de riqueza</w:t>
      </w:r>
      <w:r w:rsidRPr="00315D91">
        <w:rPr>
          <w:sz w:val="18"/>
          <w:szCs w:val="18"/>
        </w:rPr>
        <w:t xml:space="preserve">. </w:t>
      </w:r>
    </w:p>
  </w:footnote>
  <w:footnote w:id="6">
    <w:p w:rsidR="003C6B2D" w:rsidRPr="003C6B2D" w:rsidRDefault="003C6B2D" w:rsidP="003C6B2D">
      <w:pPr>
        <w:pStyle w:val="NoSpacing"/>
        <w:jc w:val="both"/>
        <w:rPr>
          <w:sz w:val="18"/>
          <w:szCs w:val="18"/>
        </w:rPr>
      </w:pPr>
      <w:r w:rsidRPr="003C6B2D">
        <w:rPr>
          <w:rStyle w:val="FootnoteReference"/>
          <w:b/>
          <w:sz w:val="18"/>
          <w:szCs w:val="18"/>
        </w:rPr>
        <w:footnoteRef/>
      </w:r>
      <w:r w:rsidRPr="003C6B2D">
        <w:rPr>
          <w:sz w:val="18"/>
          <w:szCs w:val="18"/>
        </w:rPr>
        <w:t xml:space="preserve"> Exclusivamente, como lo postulara Menger.</w:t>
      </w:r>
    </w:p>
  </w:footnote>
  <w:footnote w:id="7">
    <w:p w:rsidR="00315D91" w:rsidRPr="00315D91" w:rsidRDefault="00315D91" w:rsidP="00315D91">
      <w:pPr>
        <w:pStyle w:val="NoSpacing"/>
        <w:jc w:val="both"/>
        <w:rPr>
          <w:sz w:val="18"/>
          <w:szCs w:val="18"/>
        </w:rPr>
      </w:pPr>
      <w:r w:rsidRPr="00315D91">
        <w:rPr>
          <w:rStyle w:val="FootnoteReference"/>
          <w:b/>
          <w:sz w:val="18"/>
          <w:szCs w:val="18"/>
        </w:rPr>
        <w:footnoteRef/>
      </w:r>
      <w:r w:rsidRPr="00315D91">
        <w:rPr>
          <w:sz w:val="18"/>
          <w:szCs w:val="18"/>
        </w:rPr>
        <w:t xml:space="preserve"> En aras prometer: equidad, igualdad, justicia social, etc…</w:t>
      </w:r>
      <w:r w:rsidR="001B2F31">
        <w:rPr>
          <w:sz w:val="18"/>
          <w:szCs w:val="18"/>
        </w:rPr>
        <w:t xml:space="preserve">; </w:t>
      </w:r>
      <w:r w:rsidR="001B2F31" w:rsidRPr="00315D91">
        <w:rPr>
          <w:sz w:val="18"/>
          <w:szCs w:val="18"/>
        </w:rPr>
        <w:t>economía del bienestar</w:t>
      </w:r>
      <w:r w:rsidR="00D50984">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010CC3"/>
    <w:rsid w:val="00010CC3"/>
    <w:rsid w:val="00090C83"/>
    <w:rsid w:val="000B741A"/>
    <w:rsid w:val="000F0F95"/>
    <w:rsid w:val="00101564"/>
    <w:rsid w:val="00123393"/>
    <w:rsid w:val="001B2F31"/>
    <w:rsid w:val="00206ED6"/>
    <w:rsid w:val="00246210"/>
    <w:rsid w:val="00315D91"/>
    <w:rsid w:val="0032591B"/>
    <w:rsid w:val="003C6B2D"/>
    <w:rsid w:val="004B6D85"/>
    <w:rsid w:val="00542F05"/>
    <w:rsid w:val="00766640"/>
    <w:rsid w:val="00810DE6"/>
    <w:rsid w:val="00874D31"/>
    <w:rsid w:val="008E02EB"/>
    <w:rsid w:val="008F12D5"/>
    <w:rsid w:val="00917C4A"/>
    <w:rsid w:val="0092156C"/>
    <w:rsid w:val="009C468B"/>
    <w:rsid w:val="00AB0865"/>
    <w:rsid w:val="00B530C3"/>
    <w:rsid w:val="00C8602B"/>
    <w:rsid w:val="00D50984"/>
    <w:rsid w:val="00E15363"/>
    <w:rsid w:val="00F2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FootnoteText">
    <w:name w:val="footnote text"/>
    <w:basedOn w:val="Normal"/>
    <w:link w:val="FootnoteTextChar"/>
    <w:uiPriority w:val="99"/>
    <w:semiHidden/>
    <w:unhideWhenUsed/>
    <w:rsid w:val="00542F05"/>
    <w:rPr>
      <w:sz w:val="20"/>
      <w:szCs w:val="20"/>
    </w:rPr>
  </w:style>
  <w:style w:type="character" w:customStyle="1" w:styleId="FootnoteTextChar">
    <w:name w:val="Footnote Text Char"/>
    <w:basedOn w:val="DefaultParagraphFont"/>
    <w:link w:val="FootnoteText"/>
    <w:uiPriority w:val="99"/>
    <w:semiHidden/>
    <w:rsid w:val="00542F05"/>
    <w:rPr>
      <w:sz w:val="20"/>
      <w:szCs w:val="20"/>
    </w:rPr>
  </w:style>
  <w:style w:type="character" w:styleId="FootnoteReference">
    <w:name w:val="footnote reference"/>
    <w:basedOn w:val="DefaultParagraphFont"/>
    <w:uiPriority w:val="99"/>
    <w:semiHidden/>
    <w:unhideWhenUsed/>
    <w:rsid w:val="00542F05"/>
    <w:rPr>
      <w:vertAlign w:val="superscript"/>
    </w:rPr>
  </w:style>
  <w:style w:type="paragraph" w:styleId="Header">
    <w:name w:val="header"/>
    <w:basedOn w:val="Normal"/>
    <w:link w:val="HeaderChar"/>
    <w:uiPriority w:val="99"/>
    <w:unhideWhenUsed/>
    <w:rsid w:val="00E15363"/>
    <w:pPr>
      <w:tabs>
        <w:tab w:val="center" w:pos="4419"/>
        <w:tab w:val="right" w:pos="8838"/>
      </w:tabs>
    </w:pPr>
  </w:style>
  <w:style w:type="character" w:customStyle="1" w:styleId="HeaderChar">
    <w:name w:val="Header Char"/>
    <w:basedOn w:val="DefaultParagraphFont"/>
    <w:link w:val="Header"/>
    <w:uiPriority w:val="99"/>
    <w:rsid w:val="00E15363"/>
  </w:style>
  <w:style w:type="paragraph" w:styleId="Footer">
    <w:name w:val="footer"/>
    <w:basedOn w:val="Normal"/>
    <w:link w:val="FooterChar"/>
    <w:uiPriority w:val="99"/>
    <w:unhideWhenUsed/>
    <w:rsid w:val="00E15363"/>
    <w:pPr>
      <w:tabs>
        <w:tab w:val="center" w:pos="4419"/>
        <w:tab w:val="right" w:pos="8838"/>
      </w:tabs>
    </w:pPr>
  </w:style>
  <w:style w:type="character" w:customStyle="1" w:styleId="FooterChar">
    <w:name w:val="Footer Char"/>
    <w:basedOn w:val="DefaultParagraphFont"/>
    <w:link w:val="Footer"/>
    <w:uiPriority w:val="99"/>
    <w:rsid w:val="00E15363"/>
  </w:style>
  <w:style w:type="paragraph" w:styleId="BalloonText">
    <w:name w:val="Balloon Text"/>
    <w:basedOn w:val="Normal"/>
    <w:link w:val="BalloonTextChar"/>
    <w:uiPriority w:val="99"/>
    <w:semiHidden/>
    <w:unhideWhenUsed/>
    <w:rsid w:val="008F12D5"/>
    <w:rPr>
      <w:rFonts w:ascii="Tahoma" w:hAnsi="Tahoma" w:cs="Tahoma"/>
      <w:sz w:val="16"/>
      <w:szCs w:val="16"/>
    </w:rPr>
  </w:style>
  <w:style w:type="character" w:customStyle="1" w:styleId="BalloonTextChar">
    <w:name w:val="Balloon Text Char"/>
    <w:basedOn w:val="DefaultParagraphFont"/>
    <w:link w:val="BalloonText"/>
    <w:uiPriority w:val="99"/>
    <w:semiHidden/>
    <w:rsid w:val="008F12D5"/>
    <w:rPr>
      <w:rFonts w:ascii="Tahoma" w:hAnsi="Tahoma" w:cs="Tahoma"/>
      <w:sz w:val="16"/>
      <w:szCs w:val="16"/>
    </w:rPr>
  </w:style>
  <w:style w:type="character" w:styleId="Hyperlink">
    <w:name w:val="Hyperlink"/>
    <w:basedOn w:val="DefaultParagraphFont"/>
    <w:uiPriority w:val="99"/>
    <w:unhideWhenUsed/>
    <w:rsid w:val="000F0F95"/>
    <w:rPr>
      <w:color w:val="0000FF" w:themeColor="hyperlink"/>
      <w:u w:val="single"/>
    </w:rPr>
  </w:style>
  <w:style w:type="character" w:customStyle="1" w:styleId="NoSpacingChar">
    <w:name w:val="No Spacing Char"/>
    <w:basedOn w:val="DefaultParagraphFont"/>
    <w:link w:val="NoSpacing"/>
    <w:uiPriority w:val="1"/>
    <w:rsid w:val="000F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notapie">
    <w:name w:val="footnote text"/>
    <w:basedOn w:val="Normal"/>
    <w:link w:val="TextonotapieCar"/>
    <w:uiPriority w:val="99"/>
    <w:semiHidden/>
    <w:unhideWhenUsed/>
    <w:rsid w:val="00542F05"/>
    <w:rPr>
      <w:sz w:val="20"/>
      <w:szCs w:val="20"/>
    </w:rPr>
  </w:style>
  <w:style w:type="character" w:customStyle="1" w:styleId="TextonotapieCar">
    <w:name w:val="Texto nota pie Car"/>
    <w:basedOn w:val="Fuentedeprrafopredeter"/>
    <w:link w:val="Textonotapie"/>
    <w:uiPriority w:val="99"/>
    <w:semiHidden/>
    <w:rsid w:val="00542F05"/>
    <w:rPr>
      <w:sz w:val="20"/>
      <w:szCs w:val="20"/>
    </w:rPr>
  </w:style>
  <w:style w:type="character" w:styleId="Refdenotaalpie">
    <w:name w:val="footnote reference"/>
    <w:basedOn w:val="Fuentedeprrafopredeter"/>
    <w:uiPriority w:val="99"/>
    <w:semiHidden/>
    <w:unhideWhenUsed/>
    <w:rsid w:val="00542F05"/>
    <w:rPr>
      <w:vertAlign w:val="superscript"/>
    </w:rPr>
  </w:style>
  <w:style w:type="paragraph" w:styleId="Encabezado">
    <w:name w:val="header"/>
    <w:basedOn w:val="Normal"/>
    <w:link w:val="EncabezadoCar"/>
    <w:uiPriority w:val="99"/>
    <w:unhideWhenUsed/>
    <w:rsid w:val="00E15363"/>
    <w:pPr>
      <w:tabs>
        <w:tab w:val="center" w:pos="4419"/>
        <w:tab w:val="right" w:pos="8838"/>
      </w:tabs>
    </w:pPr>
  </w:style>
  <w:style w:type="character" w:customStyle="1" w:styleId="EncabezadoCar">
    <w:name w:val="Encabezado Car"/>
    <w:basedOn w:val="Fuentedeprrafopredeter"/>
    <w:link w:val="Encabezado"/>
    <w:uiPriority w:val="99"/>
    <w:rsid w:val="00E15363"/>
  </w:style>
  <w:style w:type="paragraph" w:styleId="Piedepgina">
    <w:name w:val="footer"/>
    <w:basedOn w:val="Normal"/>
    <w:link w:val="PiedepginaCar"/>
    <w:uiPriority w:val="99"/>
    <w:unhideWhenUsed/>
    <w:rsid w:val="00E15363"/>
    <w:pPr>
      <w:tabs>
        <w:tab w:val="center" w:pos="4419"/>
        <w:tab w:val="right" w:pos="8838"/>
      </w:tabs>
    </w:pPr>
  </w:style>
  <w:style w:type="character" w:customStyle="1" w:styleId="PiedepginaCar">
    <w:name w:val="Pie de página Car"/>
    <w:basedOn w:val="Fuentedeprrafopredeter"/>
    <w:link w:val="Piedepgina"/>
    <w:uiPriority w:val="99"/>
    <w:rsid w:val="00E15363"/>
  </w:style>
  <w:style w:type="paragraph" w:styleId="Textodeglobo">
    <w:name w:val="Balloon Text"/>
    <w:basedOn w:val="Normal"/>
    <w:link w:val="TextodegloboCar"/>
    <w:uiPriority w:val="99"/>
    <w:semiHidden/>
    <w:unhideWhenUsed/>
    <w:rsid w:val="008F12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bondone.com/teoria-del-tiempo-economico/aplicacion/teoria-economica-subjetiva-solidaria.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rlosbondone.com/teoria-del-tiempo-economico/aplicacion/teoria-economica-subjetiva-solidar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losbondone.com/teoria-del-tiempo-economico/aplicacion/teoria-economica-subjetiva-solidari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3860-1F05-4AD7-BA63-32DADAA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2</Pages>
  <Words>514</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15</cp:revision>
  <cp:lastPrinted>2019-03-11T13:07:00Z</cp:lastPrinted>
  <dcterms:created xsi:type="dcterms:W3CDTF">2019-03-10T19:06:00Z</dcterms:created>
  <dcterms:modified xsi:type="dcterms:W3CDTF">2019-04-04T19:22:00Z</dcterms:modified>
</cp:coreProperties>
</file>