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4A" w:rsidRPr="000678CA" w:rsidRDefault="00A60050" w:rsidP="00B27BC8">
      <w:pPr>
        <w:pStyle w:val="NoSpacing"/>
        <w:jc w:val="center"/>
        <w:rPr>
          <w:b/>
          <w:sz w:val="24"/>
          <w:szCs w:val="24"/>
          <w:lang w:val="en-US"/>
        </w:rPr>
      </w:pPr>
      <w:r w:rsidRPr="00A60050">
        <w:rPr>
          <w:sz w:val="24"/>
          <w:szCs w:val="24"/>
          <w:lang w:val="en-US"/>
        </w:rPr>
        <w:t xml:space="preserve">SSET 05 - </w:t>
      </w:r>
      <w:r w:rsidR="00B27BC8" w:rsidRPr="000678CA">
        <w:rPr>
          <w:b/>
          <w:sz w:val="24"/>
          <w:szCs w:val="24"/>
          <w:lang w:val="en-US"/>
        </w:rPr>
        <w:t xml:space="preserve">CORRELATION </w:t>
      </w:r>
      <w:r w:rsidR="00911B22">
        <w:rPr>
          <w:b/>
          <w:sz w:val="24"/>
          <w:szCs w:val="24"/>
          <w:lang w:val="en-US"/>
        </w:rPr>
        <w:t>of</w:t>
      </w:r>
      <w:r w:rsidR="00B27BC8" w:rsidRPr="000678CA">
        <w:rPr>
          <w:b/>
          <w:sz w:val="24"/>
          <w:szCs w:val="24"/>
          <w:lang w:val="en-US"/>
        </w:rPr>
        <w:t xml:space="preserve"> ADAM SMITH</w:t>
      </w:r>
    </w:p>
    <w:p w:rsidR="00911B22" w:rsidRPr="009901C9" w:rsidRDefault="00911B22" w:rsidP="00B27BC8">
      <w:pPr>
        <w:pStyle w:val="NoSpacing"/>
        <w:ind w:firstLine="284"/>
        <w:jc w:val="center"/>
        <w:rPr>
          <w:b/>
          <w:sz w:val="16"/>
          <w:szCs w:val="16"/>
          <w:lang w:val="en-US"/>
        </w:rPr>
      </w:pPr>
    </w:p>
    <w:p w:rsidR="00B27BC8" w:rsidRPr="00722021" w:rsidRDefault="00B27BC8" w:rsidP="00B27BC8">
      <w:pPr>
        <w:pStyle w:val="NoSpacing"/>
        <w:ind w:firstLine="284"/>
        <w:jc w:val="center"/>
        <w:rPr>
          <w:b/>
          <w:sz w:val="24"/>
          <w:szCs w:val="24"/>
          <w:lang w:val="en-US"/>
        </w:rPr>
      </w:pPr>
      <w:r w:rsidRPr="00722021">
        <w:rPr>
          <w:b/>
          <w:sz w:val="24"/>
          <w:szCs w:val="24"/>
          <w:lang w:val="en-US"/>
        </w:rPr>
        <w:t>(The “invisible hand”)</w:t>
      </w:r>
    </w:p>
    <w:p w:rsidR="00B27BC8" w:rsidRPr="009901C9" w:rsidRDefault="00B27BC8" w:rsidP="00B27BC8">
      <w:pPr>
        <w:pStyle w:val="NoSpacing"/>
        <w:ind w:firstLine="284"/>
        <w:jc w:val="both"/>
        <w:rPr>
          <w:sz w:val="16"/>
          <w:szCs w:val="16"/>
          <w:lang w:val="en-US"/>
        </w:rPr>
      </w:pPr>
    </w:p>
    <w:p w:rsidR="00911B22" w:rsidRPr="009901C9" w:rsidRDefault="00911B22" w:rsidP="00B27BC8">
      <w:pPr>
        <w:pStyle w:val="NoSpacing"/>
        <w:ind w:firstLine="284"/>
        <w:jc w:val="both"/>
        <w:rPr>
          <w:sz w:val="16"/>
          <w:szCs w:val="16"/>
          <w:lang w:val="en-US"/>
        </w:rPr>
      </w:pPr>
    </w:p>
    <w:p w:rsidR="007027C8" w:rsidRDefault="00722021" w:rsidP="00B27BC8">
      <w:pPr>
        <w:pStyle w:val="NoSpacing"/>
        <w:ind w:firstLine="284"/>
        <w:jc w:val="both"/>
        <w:rPr>
          <w:sz w:val="24"/>
          <w:szCs w:val="24"/>
          <w:lang w:val="en-US"/>
        </w:rPr>
      </w:pPr>
      <w:r w:rsidRPr="00722021">
        <w:rPr>
          <w:sz w:val="24"/>
          <w:szCs w:val="24"/>
          <w:lang w:val="en-US"/>
        </w:rPr>
        <w:t>Here we demonstrate how the divisio</w:t>
      </w:r>
      <w:r>
        <w:rPr>
          <w:sz w:val="24"/>
          <w:szCs w:val="24"/>
          <w:lang w:val="en-US"/>
        </w:rPr>
        <w:t>n</w:t>
      </w:r>
      <w:r w:rsidRPr="00722021">
        <w:rPr>
          <w:sz w:val="24"/>
          <w:szCs w:val="24"/>
          <w:lang w:val="en-US"/>
        </w:rPr>
        <w:t xml:space="preserve"> of </w:t>
      </w:r>
      <w:r w:rsidR="00095F1E">
        <w:rPr>
          <w:sz w:val="24"/>
          <w:szCs w:val="24"/>
          <w:lang w:val="en-US"/>
        </w:rPr>
        <w:t>labor</w:t>
      </w:r>
      <w:r w:rsidRPr="00722021">
        <w:rPr>
          <w:sz w:val="24"/>
          <w:szCs w:val="24"/>
          <w:lang w:val="en-US"/>
        </w:rPr>
        <w:t>, product of specialization, had influenced in increasing we</w:t>
      </w:r>
      <w:r>
        <w:rPr>
          <w:sz w:val="24"/>
          <w:szCs w:val="24"/>
          <w:lang w:val="en-US"/>
        </w:rPr>
        <w:t xml:space="preserve">alth and occupation of work hand. </w:t>
      </w:r>
      <w:r w:rsidR="007027C8">
        <w:rPr>
          <w:sz w:val="24"/>
          <w:szCs w:val="24"/>
          <w:lang w:val="en-US"/>
        </w:rPr>
        <w:t>That is to say, we will give scientific support to the intuitive present in the “invisible hand” f</w:t>
      </w:r>
      <w:r w:rsidR="009265B5">
        <w:rPr>
          <w:sz w:val="24"/>
          <w:szCs w:val="24"/>
          <w:lang w:val="en-US"/>
        </w:rPr>
        <w:t>r</w:t>
      </w:r>
      <w:r w:rsidR="007027C8">
        <w:rPr>
          <w:sz w:val="24"/>
          <w:szCs w:val="24"/>
          <w:lang w:val="en-US"/>
        </w:rPr>
        <w:t xml:space="preserve">om Adam Smith, what it looks like guide the individual action that in profit of all human been. </w:t>
      </w:r>
      <w:r w:rsidR="000678CA">
        <w:rPr>
          <w:sz w:val="24"/>
          <w:szCs w:val="24"/>
          <w:lang w:val="en-US"/>
        </w:rPr>
        <w:t>Since</w:t>
      </w:r>
      <w:r w:rsidR="007027C8">
        <w:rPr>
          <w:sz w:val="24"/>
          <w:szCs w:val="24"/>
          <w:lang w:val="en-US"/>
        </w:rPr>
        <w:t xml:space="preserve"> the </w:t>
      </w:r>
      <w:r w:rsidR="00F53E89">
        <w:rPr>
          <w:sz w:val="24"/>
          <w:szCs w:val="24"/>
          <w:lang w:val="en-US"/>
        </w:rPr>
        <w:t xml:space="preserve">new </w:t>
      </w:r>
      <w:hyperlink r:id="rId7" w:history="1">
        <w:r w:rsidR="00094DF4" w:rsidRPr="00094DF4">
          <w:rPr>
            <w:rStyle w:val="Hyperlink"/>
            <w:i/>
            <w:sz w:val="24"/>
            <w:szCs w:val="24"/>
            <w:lang w:val="en-US"/>
          </w:rPr>
          <w:t>Subjective and Solidarity Economic Theory</w:t>
        </w:r>
      </w:hyperlink>
      <w:r w:rsidR="007027C8" w:rsidRPr="00094DF4">
        <w:rPr>
          <w:sz w:val="24"/>
          <w:szCs w:val="24"/>
          <w:lang w:val="en-US"/>
        </w:rPr>
        <w:t xml:space="preserve"> </w:t>
      </w:r>
      <w:r w:rsidR="007027C8">
        <w:rPr>
          <w:sz w:val="24"/>
          <w:szCs w:val="24"/>
          <w:lang w:val="en-US"/>
        </w:rPr>
        <w:t>(SSET) we will show basis and requirement (freedom) of such intuition.</w:t>
      </w:r>
    </w:p>
    <w:p w:rsidR="00B27BC8" w:rsidRPr="009901C9" w:rsidRDefault="00B27BC8" w:rsidP="00B27BC8">
      <w:pPr>
        <w:pStyle w:val="NoSpacing"/>
        <w:ind w:firstLine="284"/>
        <w:jc w:val="both"/>
        <w:rPr>
          <w:sz w:val="16"/>
          <w:szCs w:val="16"/>
          <w:lang w:val="en-US"/>
        </w:rPr>
      </w:pPr>
    </w:p>
    <w:p w:rsidR="00BF4B87" w:rsidRPr="000678CA" w:rsidRDefault="00BF4B87" w:rsidP="00B27BC8">
      <w:pPr>
        <w:pStyle w:val="NoSpacing"/>
        <w:ind w:firstLine="284"/>
        <w:jc w:val="both"/>
        <w:rPr>
          <w:i/>
          <w:sz w:val="24"/>
          <w:szCs w:val="24"/>
          <w:lang w:val="en-US"/>
        </w:rPr>
      </w:pPr>
      <w:r w:rsidRPr="000678CA">
        <w:rPr>
          <w:i/>
          <w:sz w:val="24"/>
          <w:szCs w:val="24"/>
          <w:lang w:val="en-US"/>
        </w:rPr>
        <w:t>Simple correlation of Adam Smith</w:t>
      </w:r>
    </w:p>
    <w:p w:rsidR="00BF4B87" w:rsidRPr="009901C9" w:rsidRDefault="00BF4B87" w:rsidP="00B27BC8">
      <w:pPr>
        <w:pStyle w:val="NoSpacing"/>
        <w:ind w:firstLine="284"/>
        <w:jc w:val="both"/>
        <w:rPr>
          <w:i/>
          <w:sz w:val="16"/>
          <w:szCs w:val="16"/>
          <w:lang w:val="en-US"/>
        </w:rPr>
      </w:pPr>
    </w:p>
    <w:p w:rsidR="001635C1" w:rsidRDefault="00CF1C28" w:rsidP="00B27BC8">
      <w:pPr>
        <w:pStyle w:val="NoSpacing"/>
        <w:ind w:firstLine="284"/>
        <w:jc w:val="both"/>
        <w:rPr>
          <w:sz w:val="24"/>
          <w:szCs w:val="24"/>
          <w:lang w:val="en-US"/>
        </w:rPr>
      </w:pPr>
      <w:r w:rsidRPr="00CF1C28">
        <w:rPr>
          <w:sz w:val="24"/>
          <w:szCs w:val="24"/>
          <w:lang w:val="en-US"/>
        </w:rPr>
        <w:t>Is the one that emerge from pos</w:t>
      </w:r>
      <w:r>
        <w:rPr>
          <w:sz w:val="24"/>
          <w:szCs w:val="24"/>
          <w:lang w:val="en-US"/>
        </w:rPr>
        <w:t>i</w:t>
      </w:r>
      <w:r w:rsidRPr="00CF1C28">
        <w:rPr>
          <w:sz w:val="24"/>
          <w:szCs w:val="24"/>
          <w:lang w:val="en-US"/>
        </w:rPr>
        <w:t>tively correlates the highest total production (</w:t>
      </w:r>
      <w:r w:rsidRPr="00CF1C28">
        <w:rPr>
          <w:b/>
          <w:i/>
          <w:sz w:val="24"/>
          <w:szCs w:val="24"/>
          <w:lang w:val="en-US"/>
        </w:rPr>
        <w:t>q</w:t>
      </w:r>
      <w:r w:rsidRPr="00CF1C28">
        <w:rPr>
          <w:b/>
          <w:i/>
          <w:sz w:val="24"/>
          <w:szCs w:val="24"/>
          <w:vertAlign w:val="subscript"/>
          <w:lang w:val="en-US"/>
        </w:rPr>
        <w:t>t</w:t>
      </w:r>
      <w:r w:rsidRPr="00CF1C28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that arises by the specialization of each individual according to their competitive advantages, </w:t>
      </w:r>
      <w:r w:rsidR="009265B5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n their exchanges of wealth (</w:t>
      </w:r>
      <w:r w:rsidRPr="00CF1C28">
        <w:rPr>
          <w:b/>
          <w:i/>
          <w:sz w:val="24"/>
          <w:szCs w:val="24"/>
          <w:lang w:val="en-US"/>
        </w:rPr>
        <w:t>q</w:t>
      </w:r>
      <w:r w:rsidRPr="00CF1C28">
        <w:rPr>
          <w:b/>
          <w:i/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  <w:lang w:val="en-US"/>
        </w:rPr>
        <w:t xml:space="preserve">). </w:t>
      </w:r>
      <w:r w:rsidR="00160270">
        <w:rPr>
          <w:sz w:val="24"/>
          <w:szCs w:val="24"/>
          <w:lang w:val="en-US"/>
        </w:rPr>
        <w:t>Specialization allows each individual to produce (</w:t>
      </w:r>
      <w:r w:rsidR="00160270" w:rsidRPr="00160270">
        <w:rPr>
          <w:b/>
          <w:i/>
          <w:sz w:val="24"/>
          <w:szCs w:val="24"/>
          <w:lang w:val="en-US"/>
        </w:rPr>
        <w:t>q</w:t>
      </w:r>
      <w:r w:rsidR="00160270" w:rsidRPr="00160270">
        <w:rPr>
          <w:b/>
          <w:i/>
          <w:sz w:val="24"/>
          <w:szCs w:val="24"/>
          <w:vertAlign w:val="subscript"/>
          <w:lang w:val="en-US"/>
        </w:rPr>
        <w:t>x</w:t>
      </w:r>
      <w:r w:rsidR="00160270">
        <w:rPr>
          <w:sz w:val="24"/>
          <w:szCs w:val="24"/>
          <w:lang w:val="en-US"/>
        </w:rPr>
        <w:t>), over their own needs (</w:t>
      </w:r>
      <w:r w:rsidR="00160270" w:rsidRPr="00160270">
        <w:rPr>
          <w:b/>
          <w:i/>
          <w:sz w:val="24"/>
          <w:szCs w:val="24"/>
          <w:lang w:val="en-US"/>
        </w:rPr>
        <w:t>q</w:t>
      </w:r>
      <w:r w:rsidR="00160270" w:rsidRPr="00160270">
        <w:rPr>
          <w:b/>
          <w:i/>
          <w:sz w:val="24"/>
          <w:szCs w:val="24"/>
          <w:vertAlign w:val="subscript"/>
          <w:lang w:val="en-US"/>
        </w:rPr>
        <w:t>x</w:t>
      </w:r>
      <w:r w:rsidR="00160270">
        <w:rPr>
          <w:sz w:val="24"/>
          <w:szCs w:val="24"/>
          <w:lang w:val="en-US"/>
        </w:rPr>
        <w:t>), which is an incentive to exchange it for other manifestation of wealth (</w:t>
      </w:r>
      <w:r w:rsidR="00160270" w:rsidRPr="00160270">
        <w:rPr>
          <w:b/>
          <w:i/>
          <w:sz w:val="24"/>
          <w:szCs w:val="24"/>
          <w:lang w:val="en-US"/>
        </w:rPr>
        <w:t>q</w:t>
      </w:r>
      <w:r w:rsidR="00160270" w:rsidRPr="00160270">
        <w:rPr>
          <w:b/>
          <w:i/>
          <w:sz w:val="24"/>
          <w:szCs w:val="24"/>
          <w:vertAlign w:val="subscript"/>
          <w:lang w:val="en-US"/>
        </w:rPr>
        <w:t>y</w:t>
      </w:r>
      <w:r w:rsidR="00160270">
        <w:rPr>
          <w:sz w:val="24"/>
          <w:szCs w:val="24"/>
          <w:lang w:val="en-US"/>
        </w:rPr>
        <w:t xml:space="preserve">) </w:t>
      </w:r>
      <w:r w:rsidR="001635C1">
        <w:rPr>
          <w:sz w:val="24"/>
          <w:szCs w:val="24"/>
          <w:lang w:val="en-US"/>
        </w:rPr>
        <w:t>generated by those who are specialized in them (</w:t>
      </w:r>
      <w:r w:rsidR="001635C1" w:rsidRPr="00160270">
        <w:rPr>
          <w:b/>
          <w:i/>
          <w:sz w:val="24"/>
          <w:szCs w:val="24"/>
          <w:lang w:val="en-US"/>
        </w:rPr>
        <w:t>q</w:t>
      </w:r>
      <w:r w:rsidR="001635C1" w:rsidRPr="00160270">
        <w:rPr>
          <w:b/>
          <w:i/>
          <w:sz w:val="24"/>
          <w:szCs w:val="24"/>
          <w:vertAlign w:val="subscript"/>
          <w:lang w:val="en-US"/>
        </w:rPr>
        <w:t>y</w:t>
      </w:r>
      <w:r w:rsidR="001635C1">
        <w:rPr>
          <w:sz w:val="24"/>
          <w:szCs w:val="24"/>
          <w:lang w:val="en-US"/>
        </w:rPr>
        <w:t>). That to say, increasing free exchange (</w:t>
      </w:r>
      <w:r w:rsidR="001635C1" w:rsidRPr="00160270">
        <w:rPr>
          <w:b/>
          <w:i/>
          <w:sz w:val="24"/>
          <w:szCs w:val="24"/>
          <w:lang w:val="en-US"/>
        </w:rPr>
        <w:t>q</w:t>
      </w:r>
      <w:r w:rsidR="001635C1">
        <w:rPr>
          <w:b/>
          <w:i/>
          <w:sz w:val="24"/>
          <w:szCs w:val="24"/>
          <w:vertAlign w:val="subscript"/>
          <w:lang w:val="en-US"/>
        </w:rPr>
        <w:t>i</w:t>
      </w:r>
      <w:r w:rsidR="001635C1">
        <w:rPr>
          <w:sz w:val="24"/>
          <w:szCs w:val="24"/>
          <w:lang w:val="en-US"/>
        </w:rPr>
        <w:t>) leads to an increasing in total wealth (</w:t>
      </w:r>
      <w:r w:rsidR="001635C1" w:rsidRPr="00160270">
        <w:rPr>
          <w:b/>
          <w:i/>
          <w:sz w:val="24"/>
          <w:szCs w:val="24"/>
          <w:lang w:val="en-US"/>
        </w:rPr>
        <w:t>q</w:t>
      </w:r>
      <w:r w:rsidR="001635C1">
        <w:rPr>
          <w:b/>
          <w:i/>
          <w:sz w:val="24"/>
          <w:szCs w:val="24"/>
          <w:vertAlign w:val="subscript"/>
          <w:lang w:val="en-US"/>
        </w:rPr>
        <w:t>t</w:t>
      </w:r>
      <w:r w:rsidR="001635C1">
        <w:rPr>
          <w:sz w:val="24"/>
          <w:szCs w:val="24"/>
          <w:lang w:val="en-US"/>
        </w:rPr>
        <w:t xml:space="preserve">), </w:t>
      </w:r>
      <w:r w:rsidR="009901C9">
        <w:rPr>
          <w:rStyle w:val="FootnoteReference"/>
          <w:sz w:val="24"/>
          <w:szCs w:val="24"/>
          <w:lang w:val="en-US"/>
        </w:rPr>
        <w:footnoteReference w:id="1"/>
      </w:r>
      <w:r w:rsidR="009901C9">
        <w:rPr>
          <w:sz w:val="24"/>
          <w:szCs w:val="24"/>
          <w:lang w:val="en-US"/>
        </w:rPr>
        <w:t xml:space="preserve"> </w:t>
      </w:r>
      <w:r w:rsidR="001635C1">
        <w:rPr>
          <w:sz w:val="24"/>
          <w:szCs w:val="24"/>
          <w:lang w:val="en-US"/>
        </w:rPr>
        <w:t>which implies the positive correlation:</w:t>
      </w:r>
    </w:p>
    <w:p w:rsidR="00B27BC8" w:rsidRPr="00CF1C28" w:rsidRDefault="001635C1" w:rsidP="00B27BC8">
      <w:pPr>
        <w:pStyle w:val="NoSpacing"/>
        <w:ind w:firstLine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160270">
        <w:rPr>
          <w:sz w:val="24"/>
          <w:szCs w:val="24"/>
          <w:lang w:val="en-US"/>
        </w:rPr>
        <w:t xml:space="preserve">  </w:t>
      </w:r>
      <w:r w:rsidR="00CF1C28">
        <w:rPr>
          <w:sz w:val="24"/>
          <w:szCs w:val="24"/>
          <w:lang w:val="en-US"/>
        </w:rPr>
        <w:t xml:space="preserve">   </w:t>
      </w:r>
    </w:p>
    <w:p w:rsidR="00B27BC8" w:rsidRPr="00477ADA" w:rsidRDefault="00477ADA" w:rsidP="00B27BC8">
      <w:pPr>
        <w:pStyle w:val="NoSpacing"/>
        <w:jc w:val="center"/>
        <w:rPr>
          <w:b/>
          <w:sz w:val="24"/>
          <w:szCs w:val="24"/>
          <w:lang w:val="en-US"/>
        </w:rPr>
      </w:pPr>
      <w:r w:rsidRPr="00477ADA">
        <w:rPr>
          <w:b/>
          <w:i/>
          <w:sz w:val="24"/>
          <w:szCs w:val="24"/>
          <w:lang w:val="en-US"/>
        </w:rPr>
        <w:t>Simple</w:t>
      </w:r>
      <w:r w:rsidRPr="00560430">
        <w:rPr>
          <w:b/>
          <w:sz w:val="24"/>
          <w:szCs w:val="24"/>
          <w:lang w:val="en-US"/>
        </w:rPr>
        <w:t xml:space="preserve"> correlation of Adam Smith</w:t>
      </w:r>
    </w:p>
    <w:p w:rsidR="00B27BC8" w:rsidRPr="009901C9" w:rsidRDefault="00B27BC8" w:rsidP="00B27BC8">
      <w:pPr>
        <w:pStyle w:val="NoSpacing"/>
        <w:ind w:firstLine="284"/>
        <w:jc w:val="both"/>
        <w:rPr>
          <w:sz w:val="16"/>
          <w:szCs w:val="16"/>
          <w:lang w:val="en-US"/>
        </w:rPr>
      </w:pPr>
    </w:p>
    <w:tbl>
      <w:tblPr>
        <w:tblStyle w:val="TableGrid"/>
        <w:tblW w:w="0" w:type="auto"/>
        <w:tblInd w:w="2660" w:type="dxa"/>
        <w:tblLook w:val="04A0"/>
      </w:tblPr>
      <w:tblGrid>
        <w:gridCol w:w="3685"/>
      </w:tblGrid>
      <w:tr w:rsidR="00B27BC8" w:rsidTr="00477ADA">
        <w:tc>
          <w:tcPr>
            <w:tcW w:w="3685" w:type="dxa"/>
          </w:tcPr>
          <w:p w:rsidR="00B27BC8" w:rsidRPr="00321977" w:rsidRDefault="00B27BC8" w:rsidP="00477ADA">
            <w:pPr>
              <w:pStyle w:val="NoSpacing"/>
              <w:jc w:val="both"/>
              <w:rPr>
                <w:sz w:val="16"/>
                <w:szCs w:val="16"/>
                <w:lang w:val="en-US"/>
              </w:rPr>
            </w:pPr>
          </w:p>
          <w:p w:rsidR="00B27BC8" w:rsidRDefault="00B27BC8" w:rsidP="00477ADA">
            <w:pPr>
              <w:pStyle w:val="NoSpacing"/>
              <w:jc w:val="center"/>
              <w:rPr>
                <w:b/>
                <w:i/>
                <w:sz w:val="24"/>
                <w:szCs w:val="24"/>
                <w:vertAlign w:val="subscript"/>
              </w:rPr>
            </w:pPr>
            <w:r w:rsidRPr="00CD0E6B">
              <w:rPr>
                <w:rFonts w:cstheme="minorHAnsi"/>
                <w:sz w:val="24"/>
                <w:szCs w:val="24"/>
              </w:rPr>
              <w:t>↑</w:t>
            </w:r>
            <w:r w:rsidRPr="00CD0E6B">
              <w:rPr>
                <w:b/>
                <w:i/>
                <w:sz w:val="24"/>
                <w:szCs w:val="24"/>
              </w:rPr>
              <w:t>q</w:t>
            </w:r>
            <w:r w:rsidRPr="00CD0E6B">
              <w:rPr>
                <w:b/>
                <w:i/>
                <w:sz w:val="24"/>
                <w:szCs w:val="24"/>
                <w:vertAlign w:val="subscript"/>
              </w:rPr>
              <w:t>i</w:t>
            </w:r>
            <w:r w:rsidRPr="00CD0E6B">
              <w:rPr>
                <w:b/>
                <w:i/>
                <w:sz w:val="24"/>
                <w:szCs w:val="24"/>
              </w:rPr>
              <w:t xml:space="preserve"> </w:t>
            </w:r>
            <w:r w:rsidRPr="00CD0E6B">
              <w:rPr>
                <w:rFonts w:cstheme="minorHAnsi"/>
                <w:b/>
                <w:i/>
                <w:sz w:val="24"/>
                <w:szCs w:val="24"/>
              </w:rPr>
              <w:t>↔</w:t>
            </w:r>
            <w:r w:rsidRPr="00CD0E6B">
              <w:rPr>
                <w:b/>
                <w:i/>
                <w:sz w:val="24"/>
                <w:szCs w:val="24"/>
              </w:rPr>
              <w:t xml:space="preserve"> </w:t>
            </w:r>
            <w:r w:rsidRPr="00CD0E6B">
              <w:rPr>
                <w:rFonts w:cstheme="minorHAnsi"/>
                <w:sz w:val="24"/>
                <w:szCs w:val="24"/>
              </w:rPr>
              <w:t>↑</w:t>
            </w:r>
            <w:r w:rsidRPr="00CD0E6B">
              <w:rPr>
                <w:b/>
                <w:i/>
                <w:sz w:val="24"/>
                <w:szCs w:val="24"/>
              </w:rPr>
              <w:t>q</w:t>
            </w:r>
            <w:r w:rsidRPr="00CD0E6B">
              <w:rPr>
                <w:b/>
                <w:i/>
                <w:sz w:val="24"/>
                <w:szCs w:val="24"/>
                <w:vertAlign w:val="subscript"/>
              </w:rPr>
              <w:t>t</w:t>
            </w:r>
          </w:p>
          <w:p w:rsidR="00B27BC8" w:rsidRPr="00321977" w:rsidRDefault="00B27BC8" w:rsidP="00477A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B27BC8" w:rsidRPr="009901C9" w:rsidRDefault="00B27BC8" w:rsidP="00B27BC8">
      <w:pPr>
        <w:pStyle w:val="NoSpacing"/>
        <w:jc w:val="both"/>
        <w:rPr>
          <w:sz w:val="16"/>
          <w:szCs w:val="16"/>
        </w:rPr>
      </w:pPr>
    </w:p>
    <w:p w:rsidR="00477ADA" w:rsidRPr="00477ADA" w:rsidRDefault="00477ADA" w:rsidP="00B27BC8">
      <w:pPr>
        <w:pStyle w:val="NoSpacing"/>
        <w:ind w:firstLine="284"/>
        <w:jc w:val="both"/>
        <w:rPr>
          <w:i/>
          <w:sz w:val="24"/>
          <w:szCs w:val="24"/>
          <w:lang w:val="en-US"/>
        </w:rPr>
      </w:pPr>
      <w:r w:rsidRPr="00477ADA">
        <w:rPr>
          <w:i/>
          <w:sz w:val="24"/>
          <w:szCs w:val="24"/>
          <w:lang w:val="en-US"/>
        </w:rPr>
        <w:t>Wide correlation of Adam Smith</w:t>
      </w:r>
    </w:p>
    <w:p w:rsidR="00B27BC8" w:rsidRPr="009901C9" w:rsidRDefault="00B27BC8" w:rsidP="00B27BC8">
      <w:pPr>
        <w:pStyle w:val="NoSpacing"/>
        <w:ind w:firstLine="284"/>
        <w:jc w:val="both"/>
        <w:rPr>
          <w:i/>
          <w:sz w:val="16"/>
          <w:szCs w:val="16"/>
          <w:lang w:val="en-US"/>
        </w:rPr>
      </w:pPr>
    </w:p>
    <w:p w:rsidR="00B27BC8" w:rsidRPr="00095F1E" w:rsidRDefault="00095F1E" w:rsidP="00B27BC8">
      <w:pPr>
        <w:pStyle w:val="NoSpacing"/>
        <w:ind w:firstLine="284"/>
        <w:jc w:val="both"/>
        <w:rPr>
          <w:b/>
          <w:i/>
          <w:sz w:val="24"/>
          <w:szCs w:val="24"/>
          <w:vertAlign w:val="subscript"/>
          <w:lang w:val="en-US"/>
        </w:rPr>
      </w:pPr>
      <w:r w:rsidRPr="00095F1E">
        <w:rPr>
          <w:sz w:val="24"/>
          <w:szCs w:val="24"/>
          <w:lang w:val="en-US"/>
        </w:rPr>
        <w:t>Since the division of labor lies behind the exchange, we also find positive correlation between exchanges and work</w:t>
      </w:r>
      <w:r w:rsidR="00B27BC8" w:rsidRPr="00095F1E">
        <w:rPr>
          <w:sz w:val="24"/>
          <w:szCs w:val="24"/>
          <w:lang w:val="en-US"/>
        </w:rPr>
        <w:t xml:space="preserve"> (</w:t>
      </w:r>
      <w:r w:rsidR="00B27BC8" w:rsidRPr="00095F1E">
        <w:rPr>
          <w:b/>
          <w:i/>
          <w:sz w:val="24"/>
          <w:szCs w:val="24"/>
          <w:lang w:val="en-US"/>
        </w:rPr>
        <w:t>w</w:t>
      </w:r>
      <w:r w:rsidR="00B27BC8" w:rsidRPr="00095F1E">
        <w:rPr>
          <w:sz w:val="24"/>
          <w:szCs w:val="24"/>
          <w:lang w:val="en-US"/>
        </w:rPr>
        <w:t xml:space="preserve">): </w:t>
      </w:r>
      <w:r w:rsidR="00B27BC8" w:rsidRPr="00095F1E">
        <w:rPr>
          <w:rFonts w:cstheme="minorHAnsi"/>
          <w:sz w:val="24"/>
          <w:szCs w:val="24"/>
          <w:lang w:val="en-US"/>
        </w:rPr>
        <w:t>↑</w:t>
      </w:r>
      <w:r w:rsidR="00B27BC8" w:rsidRPr="00095F1E">
        <w:rPr>
          <w:b/>
          <w:i/>
          <w:sz w:val="24"/>
          <w:szCs w:val="24"/>
          <w:lang w:val="en-US"/>
        </w:rPr>
        <w:t>q</w:t>
      </w:r>
      <w:r w:rsidR="00B27BC8" w:rsidRPr="00095F1E">
        <w:rPr>
          <w:b/>
          <w:i/>
          <w:sz w:val="24"/>
          <w:szCs w:val="24"/>
          <w:vertAlign w:val="subscript"/>
          <w:lang w:val="en-US"/>
        </w:rPr>
        <w:t>i</w:t>
      </w:r>
      <w:r w:rsidR="00B27BC8" w:rsidRPr="00095F1E">
        <w:rPr>
          <w:b/>
          <w:i/>
          <w:sz w:val="24"/>
          <w:szCs w:val="24"/>
          <w:lang w:val="en-US"/>
        </w:rPr>
        <w:t xml:space="preserve"> </w:t>
      </w:r>
      <w:r w:rsidR="00B27BC8" w:rsidRPr="00095F1E">
        <w:rPr>
          <w:rFonts w:cstheme="minorHAnsi"/>
          <w:b/>
          <w:i/>
          <w:sz w:val="24"/>
          <w:szCs w:val="24"/>
          <w:lang w:val="en-US"/>
        </w:rPr>
        <w:t>↔</w:t>
      </w:r>
      <w:r w:rsidR="00B27BC8" w:rsidRPr="00095F1E">
        <w:rPr>
          <w:b/>
          <w:i/>
          <w:sz w:val="24"/>
          <w:szCs w:val="24"/>
          <w:lang w:val="en-US"/>
        </w:rPr>
        <w:t xml:space="preserve"> </w:t>
      </w:r>
      <w:r w:rsidR="00B27BC8" w:rsidRPr="00095F1E">
        <w:rPr>
          <w:rFonts w:cstheme="minorHAnsi"/>
          <w:sz w:val="24"/>
          <w:szCs w:val="24"/>
          <w:lang w:val="en-US"/>
        </w:rPr>
        <w:t>↑</w:t>
      </w:r>
      <w:r w:rsidR="00B27BC8" w:rsidRPr="00095F1E">
        <w:rPr>
          <w:b/>
          <w:i/>
          <w:sz w:val="24"/>
          <w:szCs w:val="24"/>
          <w:lang w:val="en-US"/>
        </w:rPr>
        <w:t>w</w:t>
      </w:r>
      <w:r w:rsidR="00B27BC8" w:rsidRPr="00095F1E">
        <w:rPr>
          <w:b/>
          <w:i/>
          <w:sz w:val="24"/>
          <w:szCs w:val="24"/>
          <w:vertAlign w:val="subscript"/>
          <w:lang w:val="en-US"/>
        </w:rPr>
        <w:t>t</w:t>
      </w:r>
      <w:r w:rsidR="00B27BC8" w:rsidRPr="00095F1E">
        <w:rPr>
          <w:i/>
          <w:sz w:val="24"/>
          <w:szCs w:val="24"/>
          <w:lang w:val="en-US"/>
        </w:rPr>
        <w:t>.</w:t>
      </w:r>
    </w:p>
    <w:p w:rsidR="00095F1E" w:rsidRPr="00095F1E" w:rsidRDefault="00095F1E" w:rsidP="00B27BC8">
      <w:pPr>
        <w:pStyle w:val="NoSpacing"/>
        <w:ind w:firstLine="284"/>
        <w:jc w:val="both"/>
        <w:rPr>
          <w:sz w:val="24"/>
          <w:szCs w:val="24"/>
          <w:lang w:val="en-US"/>
        </w:rPr>
      </w:pPr>
      <w:r w:rsidRPr="00095F1E">
        <w:rPr>
          <w:sz w:val="24"/>
          <w:szCs w:val="24"/>
          <w:lang w:val="en-US"/>
        </w:rPr>
        <w:t xml:space="preserve">Them we can </w:t>
      </w:r>
      <w:r>
        <w:rPr>
          <w:sz w:val="24"/>
          <w:szCs w:val="24"/>
          <w:lang w:val="en-US"/>
        </w:rPr>
        <w:t xml:space="preserve">positively </w:t>
      </w:r>
      <w:r w:rsidRPr="00095F1E">
        <w:rPr>
          <w:sz w:val="24"/>
          <w:szCs w:val="24"/>
          <w:lang w:val="en-US"/>
        </w:rPr>
        <w:t>correlat</w:t>
      </w:r>
      <w:r>
        <w:rPr>
          <w:sz w:val="24"/>
          <w:szCs w:val="24"/>
          <w:lang w:val="en-US"/>
        </w:rPr>
        <w:t>e</w:t>
      </w:r>
      <w:r w:rsidRPr="00095F1E">
        <w:rPr>
          <w:sz w:val="24"/>
          <w:szCs w:val="24"/>
          <w:lang w:val="en-US"/>
        </w:rPr>
        <w:t xml:space="preserve"> the t</w:t>
      </w:r>
      <w:r>
        <w:rPr>
          <w:sz w:val="24"/>
          <w:szCs w:val="24"/>
          <w:lang w:val="en-US"/>
        </w:rPr>
        <w:t>h</w:t>
      </w:r>
      <w:r w:rsidRPr="00095F1E">
        <w:rPr>
          <w:sz w:val="24"/>
          <w:szCs w:val="24"/>
          <w:lang w:val="en-US"/>
        </w:rPr>
        <w:t>ree economics variables:</w:t>
      </w:r>
    </w:p>
    <w:p w:rsidR="00095F1E" w:rsidRPr="00095F1E" w:rsidRDefault="00095F1E" w:rsidP="00B27BC8">
      <w:pPr>
        <w:pStyle w:val="NoSpacing"/>
        <w:ind w:firstLine="284"/>
        <w:jc w:val="both"/>
        <w:rPr>
          <w:sz w:val="24"/>
          <w:szCs w:val="24"/>
          <w:lang w:val="en-US"/>
        </w:rPr>
      </w:pPr>
      <w:r w:rsidRPr="00095F1E">
        <w:rPr>
          <w:sz w:val="24"/>
          <w:szCs w:val="24"/>
          <w:lang w:val="en-US"/>
        </w:rPr>
        <w:t xml:space="preserve"> </w:t>
      </w:r>
    </w:p>
    <w:p w:rsidR="00B27BC8" w:rsidRPr="00095F1E" w:rsidRDefault="00095F1E" w:rsidP="00B27BC8">
      <w:pPr>
        <w:pStyle w:val="NoSpacing"/>
        <w:jc w:val="center"/>
        <w:rPr>
          <w:b/>
          <w:sz w:val="24"/>
          <w:szCs w:val="24"/>
        </w:rPr>
      </w:pPr>
      <w:r w:rsidRPr="00560430">
        <w:rPr>
          <w:b/>
          <w:i/>
          <w:sz w:val="24"/>
          <w:szCs w:val="24"/>
          <w:lang w:val="en-US"/>
        </w:rPr>
        <w:t>Wide</w:t>
      </w:r>
      <w:r w:rsidRPr="00095F1E">
        <w:rPr>
          <w:b/>
          <w:sz w:val="24"/>
          <w:szCs w:val="24"/>
          <w:lang w:val="en-US"/>
        </w:rPr>
        <w:t xml:space="preserve"> correlation of Adam Smith</w:t>
      </w:r>
    </w:p>
    <w:p w:rsidR="00B27BC8" w:rsidRPr="009901C9" w:rsidRDefault="00B27BC8" w:rsidP="00B27BC8">
      <w:pPr>
        <w:pStyle w:val="NoSpacing"/>
        <w:ind w:firstLine="284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2376" w:type="dxa"/>
        <w:tblLook w:val="04A0"/>
      </w:tblPr>
      <w:tblGrid>
        <w:gridCol w:w="4253"/>
      </w:tblGrid>
      <w:tr w:rsidR="00B27BC8" w:rsidTr="00095F1E">
        <w:tc>
          <w:tcPr>
            <w:tcW w:w="4253" w:type="dxa"/>
          </w:tcPr>
          <w:p w:rsidR="00B27BC8" w:rsidRPr="00321977" w:rsidRDefault="00B27BC8" w:rsidP="00477AD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27BC8" w:rsidRDefault="00B27BC8" w:rsidP="00477ADA">
            <w:pPr>
              <w:pStyle w:val="NoSpacing"/>
              <w:jc w:val="center"/>
              <w:rPr>
                <w:b/>
                <w:i/>
                <w:sz w:val="24"/>
                <w:szCs w:val="24"/>
                <w:vertAlign w:val="subscript"/>
              </w:rPr>
            </w:pPr>
            <w:r w:rsidRPr="00CD0E6B">
              <w:rPr>
                <w:rFonts w:cstheme="minorHAnsi"/>
                <w:sz w:val="24"/>
                <w:szCs w:val="24"/>
              </w:rPr>
              <w:t>↑</w:t>
            </w:r>
            <w:r w:rsidRPr="00CD0E6B">
              <w:rPr>
                <w:b/>
                <w:i/>
                <w:sz w:val="24"/>
                <w:szCs w:val="24"/>
              </w:rPr>
              <w:t>q</w:t>
            </w:r>
            <w:r w:rsidRPr="00CD0E6B">
              <w:rPr>
                <w:b/>
                <w:i/>
                <w:sz w:val="24"/>
                <w:szCs w:val="24"/>
                <w:vertAlign w:val="subscript"/>
              </w:rPr>
              <w:t>i</w:t>
            </w:r>
            <w:r w:rsidRPr="00CD0E6B">
              <w:rPr>
                <w:b/>
                <w:i/>
                <w:sz w:val="24"/>
                <w:szCs w:val="24"/>
              </w:rPr>
              <w:t xml:space="preserve"> </w:t>
            </w:r>
            <w:r w:rsidRPr="00CD0E6B">
              <w:rPr>
                <w:rFonts w:cstheme="minorHAnsi"/>
                <w:b/>
                <w:i/>
                <w:sz w:val="24"/>
                <w:szCs w:val="24"/>
              </w:rPr>
              <w:t>↔</w:t>
            </w:r>
            <w:r w:rsidRPr="00CD0E6B">
              <w:rPr>
                <w:b/>
                <w:i/>
                <w:sz w:val="24"/>
                <w:szCs w:val="24"/>
              </w:rPr>
              <w:t xml:space="preserve"> </w:t>
            </w:r>
            <w:r w:rsidRPr="00CD0E6B">
              <w:rPr>
                <w:rFonts w:cstheme="minorHAnsi"/>
                <w:sz w:val="24"/>
                <w:szCs w:val="24"/>
              </w:rPr>
              <w:t>↑</w:t>
            </w:r>
            <w:r w:rsidRPr="00CD0E6B">
              <w:rPr>
                <w:b/>
                <w:i/>
                <w:sz w:val="24"/>
                <w:szCs w:val="24"/>
              </w:rPr>
              <w:t>q</w:t>
            </w:r>
            <w:r w:rsidRPr="00CD0E6B">
              <w:rPr>
                <w:b/>
                <w:i/>
                <w:sz w:val="24"/>
                <w:szCs w:val="24"/>
                <w:vertAlign w:val="subscript"/>
              </w:rPr>
              <w:t>t</w:t>
            </w:r>
            <w:r w:rsidRPr="00A57F97">
              <w:rPr>
                <w:b/>
                <w:i/>
                <w:sz w:val="24"/>
                <w:szCs w:val="24"/>
              </w:rPr>
              <w:t xml:space="preserve"> </w:t>
            </w:r>
            <w:r w:rsidRPr="00CD0E6B">
              <w:rPr>
                <w:rFonts w:cstheme="minorHAnsi"/>
                <w:b/>
                <w:i/>
                <w:sz w:val="24"/>
                <w:szCs w:val="24"/>
              </w:rPr>
              <w:t>↔</w:t>
            </w:r>
            <w:r w:rsidRPr="00CD0E6B">
              <w:rPr>
                <w:b/>
                <w:i/>
                <w:sz w:val="24"/>
                <w:szCs w:val="24"/>
              </w:rPr>
              <w:t xml:space="preserve"> </w:t>
            </w:r>
            <w:r w:rsidRPr="00CD0E6B">
              <w:rPr>
                <w:rFonts w:cstheme="minorHAnsi"/>
                <w:sz w:val="24"/>
                <w:szCs w:val="24"/>
              </w:rPr>
              <w:t>↑</w:t>
            </w:r>
            <w:r>
              <w:rPr>
                <w:b/>
                <w:i/>
                <w:sz w:val="24"/>
                <w:szCs w:val="24"/>
              </w:rPr>
              <w:t>w</w:t>
            </w:r>
            <w:r w:rsidRPr="00CD0E6B">
              <w:rPr>
                <w:b/>
                <w:i/>
                <w:sz w:val="24"/>
                <w:szCs w:val="24"/>
                <w:vertAlign w:val="subscript"/>
              </w:rPr>
              <w:t>t</w:t>
            </w:r>
          </w:p>
          <w:p w:rsidR="00B27BC8" w:rsidRPr="00321977" w:rsidRDefault="00B27BC8" w:rsidP="00477AD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B27BC8" w:rsidRPr="009901C9" w:rsidRDefault="00B27BC8" w:rsidP="00B27BC8">
      <w:pPr>
        <w:pStyle w:val="NoSpacing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</w:t>
      </w:r>
    </w:p>
    <w:p w:rsidR="00095F1E" w:rsidRDefault="00095F1E" w:rsidP="00B27BC8">
      <w:pPr>
        <w:pStyle w:val="NoSpacing"/>
        <w:ind w:firstLine="284"/>
        <w:jc w:val="both"/>
        <w:rPr>
          <w:sz w:val="24"/>
          <w:szCs w:val="24"/>
          <w:lang/>
        </w:rPr>
      </w:pPr>
      <w:r w:rsidRPr="00095F1E">
        <w:rPr>
          <w:sz w:val="24"/>
          <w:szCs w:val="24"/>
          <w:lang/>
        </w:rPr>
        <w:t xml:space="preserve">It remains only to clarify that the </w:t>
      </w:r>
      <w:r w:rsidRPr="00560430">
        <w:rPr>
          <w:i/>
          <w:sz w:val="24"/>
          <w:szCs w:val="24"/>
          <w:lang/>
        </w:rPr>
        <w:t>wide</w:t>
      </w:r>
      <w:r w:rsidRPr="00095F1E">
        <w:rPr>
          <w:sz w:val="24"/>
          <w:szCs w:val="24"/>
          <w:lang/>
        </w:rPr>
        <w:t xml:space="preserve"> correlation of Adam Smith is fulfilled under the rule of the natural economic laws of </w:t>
      </w:r>
      <w:r w:rsidRPr="00095F1E">
        <w:rPr>
          <w:b/>
          <w:sz w:val="24"/>
          <w:szCs w:val="24"/>
          <w:lang/>
        </w:rPr>
        <w:t>decreasing marginal utility of the wealth</w:t>
      </w:r>
      <w:r w:rsidRPr="00095F1E">
        <w:rPr>
          <w:sz w:val="24"/>
          <w:szCs w:val="24"/>
          <w:lang/>
        </w:rPr>
        <w:t xml:space="preserve"> and </w:t>
      </w:r>
      <w:r w:rsidRPr="00095F1E">
        <w:rPr>
          <w:b/>
          <w:sz w:val="24"/>
          <w:szCs w:val="24"/>
          <w:lang/>
        </w:rPr>
        <w:t>relative marginal utility of the exchange</w:t>
      </w:r>
      <w:r w:rsidRPr="00095F1E">
        <w:rPr>
          <w:sz w:val="24"/>
          <w:szCs w:val="24"/>
          <w:lang/>
        </w:rPr>
        <w:t>. Which means to say that</w:t>
      </w:r>
      <w:r w:rsidR="004457D5">
        <w:rPr>
          <w:sz w:val="24"/>
          <w:szCs w:val="24"/>
          <w:lang/>
        </w:rPr>
        <w:t>:</w:t>
      </w:r>
      <w:r w:rsidRPr="00095F1E">
        <w:rPr>
          <w:sz w:val="24"/>
          <w:szCs w:val="24"/>
          <w:lang/>
        </w:rPr>
        <w:t xml:space="preserve"> the </w:t>
      </w:r>
      <w:r>
        <w:rPr>
          <w:sz w:val="24"/>
          <w:szCs w:val="24"/>
          <w:lang/>
        </w:rPr>
        <w:t>“</w:t>
      </w:r>
      <w:r w:rsidRPr="00095F1E">
        <w:rPr>
          <w:sz w:val="24"/>
          <w:szCs w:val="24"/>
          <w:lang/>
        </w:rPr>
        <w:t>invisible hand</w:t>
      </w:r>
      <w:r>
        <w:rPr>
          <w:sz w:val="24"/>
          <w:szCs w:val="24"/>
          <w:lang/>
        </w:rPr>
        <w:t>”</w:t>
      </w:r>
      <w:r w:rsidRPr="00095F1E">
        <w:rPr>
          <w:sz w:val="24"/>
          <w:szCs w:val="24"/>
          <w:lang/>
        </w:rPr>
        <w:t xml:space="preserve"> of Adam Smith operate</w:t>
      </w:r>
      <w:r w:rsidR="00E61582">
        <w:rPr>
          <w:sz w:val="24"/>
          <w:szCs w:val="24"/>
          <w:lang/>
        </w:rPr>
        <w:t>s</w:t>
      </w:r>
      <w:r w:rsidRPr="00095F1E">
        <w:rPr>
          <w:sz w:val="24"/>
          <w:szCs w:val="24"/>
          <w:lang/>
        </w:rPr>
        <w:t xml:space="preserve"> under </w:t>
      </w:r>
      <w:r w:rsidR="00E61582">
        <w:rPr>
          <w:sz w:val="24"/>
          <w:szCs w:val="24"/>
          <w:lang/>
        </w:rPr>
        <w:t xml:space="preserve">a </w:t>
      </w:r>
      <w:r w:rsidRPr="00095F1E">
        <w:rPr>
          <w:sz w:val="24"/>
          <w:szCs w:val="24"/>
          <w:lang/>
        </w:rPr>
        <w:t>regime of free manifestation of human values.</w:t>
      </w:r>
    </w:p>
    <w:p w:rsidR="00B27BC8" w:rsidRDefault="00E61582" w:rsidP="000678CA">
      <w:pPr>
        <w:pStyle w:val="NoSpacing"/>
        <w:ind w:firstLine="284"/>
        <w:jc w:val="both"/>
        <w:rPr>
          <w:sz w:val="24"/>
          <w:szCs w:val="24"/>
          <w:lang/>
        </w:rPr>
      </w:pPr>
      <w:r w:rsidRPr="00E61582">
        <w:rPr>
          <w:sz w:val="24"/>
          <w:szCs w:val="24"/>
          <w:lang/>
        </w:rPr>
        <w:t>In future works we will show how violat</w:t>
      </w:r>
      <w:r w:rsidR="000678CA">
        <w:rPr>
          <w:sz w:val="24"/>
          <w:szCs w:val="24"/>
          <w:lang/>
        </w:rPr>
        <w:t>e</w:t>
      </w:r>
      <w:r w:rsidRPr="00E61582">
        <w:rPr>
          <w:sz w:val="24"/>
          <w:szCs w:val="24"/>
          <w:lang/>
        </w:rPr>
        <w:t xml:space="preserve"> of natural economic laws </w:t>
      </w:r>
      <w:r>
        <w:rPr>
          <w:sz w:val="24"/>
          <w:szCs w:val="24"/>
          <w:lang/>
        </w:rPr>
        <w:t xml:space="preserve">attempt against </w:t>
      </w:r>
      <w:r w:rsidRPr="00E61582">
        <w:rPr>
          <w:sz w:val="24"/>
          <w:szCs w:val="24"/>
          <w:lang/>
        </w:rPr>
        <w:t xml:space="preserve">threaten the </w:t>
      </w:r>
      <w:r w:rsidRPr="00E61582">
        <w:rPr>
          <w:b/>
          <w:sz w:val="24"/>
          <w:szCs w:val="24"/>
          <w:lang/>
        </w:rPr>
        <w:t>Efficient and Equitable Economic Evolution</w:t>
      </w:r>
      <w:r w:rsidRPr="00E61582">
        <w:rPr>
          <w:sz w:val="24"/>
          <w:szCs w:val="24"/>
          <w:lang/>
        </w:rPr>
        <w:t xml:space="preserve"> (</w:t>
      </w:r>
      <w:r w:rsidRPr="00E61582">
        <w:rPr>
          <w:b/>
          <w:sz w:val="24"/>
          <w:szCs w:val="24"/>
          <w:lang/>
        </w:rPr>
        <w:t>E</w:t>
      </w:r>
      <w:r w:rsidRPr="00E61582">
        <w:rPr>
          <w:b/>
          <w:sz w:val="24"/>
          <w:szCs w:val="24"/>
          <w:vertAlign w:val="superscript"/>
          <w:lang/>
        </w:rPr>
        <w:t>4</w:t>
      </w:r>
      <w:r w:rsidRPr="00E61582">
        <w:rPr>
          <w:sz w:val="24"/>
          <w:szCs w:val="24"/>
          <w:lang/>
        </w:rPr>
        <w:t>)</w:t>
      </w:r>
      <w:r w:rsidR="000678CA">
        <w:rPr>
          <w:sz w:val="24"/>
          <w:szCs w:val="24"/>
          <w:lang/>
        </w:rPr>
        <w:t>.</w:t>
      </w:r>
    </w:p>
    <w:p w:rsidR="00225635" w:rsidRDefault="00225635" w:rsidP="001B036C">
      <w:pPr>
        <w:pStyle w:val="NoSpacing"/>
        <w:ind w:firstLine="284"/>
        <w:jc w:val="right"/>
        <w:rPr>
          <w:sz w:val="16"/>
          <w:szCs w:val="16"/>
          <w:lang/>
        </w:rPr>
      </w:pPr>
    </w:p>
    <w:p w:rsidR="009901C9" w:rsidRDefault="009901C9" w:rsidP="001B036C">
      <w:pPr>
        <w:pStyle w:val="NoSpacing"/>
        <w:ind w:firstLine="284"/>
        <w:jc w:val="right"/>
        <w:rPr>
          <w:sz w:val="16"/>
          <w:szCs w:val="16"/>
          <w:lang/>
        </w:rPr>
      </w:pPr>
    </w:p>
    <w:p w:rsidR="009901C9" w:rsidRPr="009901C9" w:rsidRDefault="009901C9" w:rsidP="001B036C">
      <w:pPr>
        <w:pStyle w:val="NoSpacing"/>
        <w:ind w:firstLine="284"/>
        <w:jc w:val="right"/>
        <w:rPr>
          <w:sz w:val="16"/>
          <w:szCs w:val="16"/>
          <w:lang/>
        </w:rPr>
      </w:pPr>
    </w:p>
    <w:p w:rsidR="00321977" w:rsidRPr="009901C9" w:rsidRDefault="00321977" w:rsidP="001B036C">
      <w:pPr>
        <w:pStyle w:val="NoSpacing"/>
        <w:ind w:firstLine="284"/>
        <w:jc w:val="right"/>
        <w:rPr>
          <w:sz w:val="16"/>
          <w:szCs w:val="16"/>
          <w:lang/>
        </w:rPr>
      </w:pPr>
    </w:p>
    <w:p w:rsidR="000678CA" w:rsidRPr="00E61582" w:rsidRDefault="000678CA" w:rsidP="001B036C">
      <w:pPr>
        <w:pStyle w:val="NoSpacing"/>
        <w:ind w:firstLine="284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/>
        </w:rPr>
        <w:t>Carlos A. Bondone</w:t>
      </w:r>
    </w:p>
    <w:sectPr w:rsidR="000678CA" w:rsidRPr="00E61582" w:rsidSect="00911B22">
      <w:footerReference w:type="default" r:id="rId8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C8" w:rsidRDefault="003F2AC8" w:rsidP="000678CA">
      <w:r>
        <w:separator/>
      </w:r>
    </w:p>
  </w:endnote>
  <w:endnote w:type="continuationSeparator" w:id="0">
    <w:p w:rsidR="003F2AC8" w:rsidRDefault="003F2AC8" w:rsidP="0006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654"/>
      <w:gridCol w:w="2122"/>
      <w:gridCol w:w="3654"/>
    </w:tblGrid>
    <w:tr w:rsidR="00094DF4" w:rsidTr="00C921B1">
      <w:trPr>
        <w:trHeight w:val="273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94DF4" w:rsidRDefault="00094DF4" w:rsidP="00C921B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94DF4" w:rsidRPr="00380F21" w:rsidRDefault="00094DF4" w:rsidP="00C921B1">
          <w:pPr>
            <w:pStyle w:val="NoSpacing"/>
            <w:jc w:val="center"/>
            <w:rPr>
              <w:rFonts w:asciiTheme="majorHAnsi" w:hAnsiTheme="majorHAnsi"/>
            </w:rPr>
          </w:pPr>
          <w:r w:rsidRPr="00380F21">
            <w:rPr>
              <w:rFonts w:ascii="Corbel" w:hAnsi="Corbel" w:cstheme="majorHAnsi"/>
              <w:sz w:val="18"/>
            </w:rPr>
            <w:fldChar w:fldCharType="begin"/>
          </w:r>
          <w:r w:rsidRPr="00380F21">
            <w:rPr>
              <w:rFonts w:ascii="Corbel" w:hAnsi="Corbel" w:cstheme="majorHAnsi"/>
              <w:sz w:val="18"/>
            </w:rPr>
            <w:instrText xml:space="preserve"> PAGE  \* MERGEFORMAT </w:instrText>
          </w:r>
          <w:r w:rsidRPr="00380F21">
            <w:rPr>
              <w:rFonts w:ascii="Corbel" w:hAnsi="Corbel" w:cstheme="majorHAnsi"/>
              <w:sz w:val="18"/>
            </w:rPr>
            <w:fldChar w:fldCharType="separate"/>
          </w:r>
          <w:r>
            <w:rPr>
              <w:rFonts w:ascii="Corbel" w:hAnsi="Corbel" w:cstheme="majorHAnsi"/>
              <w:noProof/>
              <w:sz w:val="18"/>
            </w:rPr>
            <w:t>1</w:t>
          </w:r>
          <w:r w:rsidRPr="00380F21">
            <w:rPr>
              <w:rFonts w:ascii="Corbel" w:hAnsi="Corbel" w:cstheme="majorHAnsi"/>
              <w:sz w:val="18"/>
            </w:rPr>
            <w:fldChar w:fldCharType="end"/>
          </w:r>
          <w:r>
            <w:rPr>
              <w:rFonts w:ascii="Corbel" w:hAnsi="Corbel" w:cstheme="majorHAnsi"/>
              <w:sz w:val="18"/>
            </w:rPr>
            <w:t xml:space="preserve"> </w:t>
          </w:r>
          <w:r>
            <w:rPr>
              <w:rFonts w:ascii="Corbel" w:hAnsi="Corbel" w:cstheme="majorHAnsi"/>
              <w:sz w:val="18"/>
            </w:rPr>
            <w:br/>
          </w:r>
          <w:hyperlink r:id="rId1" w:history="1">
            <w:r w:rsidRPr="003C5E5F">
              <w:rPr>
                <w:rStyle w:val="Hyperlink"/>
                <w:rFonts w:ascii="Corbel" w:hAnsi="Corbel" w:cstheme="majorHAnsi"/>
                <w:sz w:val="18"/>
              </w:rPr>
              <w:t>www.carlosbondone.com</w:t>
            </w:r>
          </w:hyperlink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94DF4" w:rsidRPr="00380F21" w:rsidRDefault="00094DF4" w:rsidP="00C921B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94DF4" w:rsidTr="00C921B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94DF4" w:rsidRDefault="00094DF4" w:rsidP="00C921B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94DF4" w:rsidRPr="00380F21" w:rsidRDefault="00094DF4" w:rsidP="00C921B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94DF4" w:rsidRPr="00380F21" w:rsidRDefault="00094DF4" w:rsidP="00C921B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678CA" w:rsidRDefault="00067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C8" w:rsidRDefault="003F2AC8" w:rsidP="000678CA">
      <w:r>
        <w:separator/>
      </w:r>
    </w:p>
  </w:footnote>
  <w:footnote w:type="continuationSeparator" w:id="0">
    <w:p w:rsidR="003F2AC8" w:rsidRDefault="003F2AC8" w:rsidP="000678CA">
      <w:r>
        <w:continuationSeparator/>
      </w:r>
    </w:p>
  </w:footnote>
  <w:footnote w:id="1">
    <w:p w:rsidR="009901C9" w:rsidRPr="00560430" w:rsidRDefault="009901C9" w:rsidP="00560430">
      <w:pPr>
        <w:pStyle w:val="NoSpacing"/>
        <w:jc w:val="both"/>
        <w:rPr>
          <w:sz w:val="18"/>
          <w:szCs w:val="18"/>
          <w:lang w:val="en-US"/>
        </w:rPr>
      </w:pPr>
      <w:r w:rsidRPr="00560430">
        <w:rPr>
          <w:rStyle w:val="FootnoteReference"/>
          <w:b/>
          <w:sz w:val="18"/>
          <w:szCs w:val="18"/>
        </w:rPr>
        <w:footnoteRef/>
      </w:r>
      <w:r w:rsidRPr="00560430">
        <w:rPr>
          <w:sz w:val="18"/>
          <w:szCs w:val="18"/>
          <w:lang w:val="en-US"/>
        </w:rPr>
        <w:t xml:space="preserve"> </w:t>
      </w:r>
      <w:r w:rsidR="00560430" w:rsidRPr="00560430">
        <w:rPr>
          <w:sz w:val="18"/>
          <w:szCs w:val="18"/>
          <w:lang w:val="en-US"/>
        </w:rPr>
        <w:t>What implies greater total wealth, equi</w:t>
      </w:r>
      <w:r w:rsidRPr="00560430">
        <w:rPr>
          <w:sz w:val="18"/>
          <w:szCs w:val="18"/>
          <w:lang w:val="en-US"/>
        </w:rPr>
        <w:t>vale</w:t>
      </w:r>
      <w:bookmarkStart w:id="0" w:name="_GoBack"/>
      <w:bookmarkEnd w:id="0"/>
      <w:r w:rsidRPr="00560430">
        <w:rPr>
          <w:sz w:val="18"/>
          <w:szCs w:val="18"/>
          <w:lang w:val="en-US"/>
        </w:rPr>
        <w:t xml:space="preserve">nt to </w:t>
      </w:r>
      <w:r w:rsidR="00560430" w:rsidRPr="00560430">
        <w:rPr>
          <w:sz w:val="18"/>
          <w:szCs w:val="18"/>
          <w:lang w:val="en-US"/>
        </w:rPr>
        <w:t>greater total value, in a</w:t>
      </w:r>
      <w:r w:rsidR="00560430">
        <w:rPr>
          <w:sz w:val="18"/>
          <w:szCs w:val="18"/>
          <w:lang w:val="en-US"/>
        </w:rPr>
        <w:t xml:space="preserve"> specific</w:t>
      </w:r>
      <w:r w:rsidR="00560430" w:rsidRPr="00560430">
        <w:rPr>
          <w:sz w:val="18"/>
          <w:szCs w:val="18"/>
          <w:lang w:val="en-US"/>
        </w:rPr>
        <w:t xml:space="preserve"> moment of evaluative time-space.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C11"/>
    <w:rsid w:val="000678CA"/>
    <w:rsid w:val="00094DF4"/>
    <w:rsid w:val="00095F1E"/>
    <w:rsid w:val="00160270"/>
    <w:rsid w:val="001635C1"/>
    <w:rsid w:val="001B036C"/>
    <w:rsid w:val="00225635"/>
    <w:rsid w:val="00235009"/>
    <w:rsid w:val="002636C1"/>
    <w:rsid w:val="00316ACA"/>
    <w:rsid w:val="00321977"/>
    <w:rsid w:val="003F2AC8"/>
    <w:rsid w:val="004457D5"/>
    <w:rsid w:val="00477ADA"/>
    <w:rsid w:val="00491F84"/>
    <w:rsid w:val="004A7C11"/>
    <w:rsid w:val="00540982"/>
    <w:rsid w:val="00560430"/>
    <w:rsid w:val="005C37C3"/>
    <w:rsid w:val="00666D87"/>
    <w:rsid w:val="007027C8"/>
    <w:rsid w:val="00722021"/>
    <w:rsid w:val="00743948"/>
    <w:rsid w:val="0076755B"/>
    <w:rsid w:val="007A4215"/>
    <w:rsid w:val="007C1F10"/>
    <w:rsid w:val="008744DA"/>
    <w:rsid w:val="00911B22"/>
    <w:rsid w:val="00917C4A"/>
    <w:rsid w:val="009265B5"/>
    <w:rsid w:val="009901C9"/>
    <w:rsid w:val="00A60050"/>
    <w:rsid w:val="00B04441"/>
    <w:rsid w:val="00B27BC8"/>
    <w:rsid w:val="00BC5196"/>
    <w:rsid w:val="00BF4B87"/>
    <w:rsid w:val="00C8602B"/>
    <w:rsid w:val="00CA7593"/>
    <w:rsid w:val="00CF1C28"/>
    <w:rsid w:val="00E10AB7"/>
    <w:rsid w:val="00E61582"/>
    <w:rsid w:val="00F5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602B"/>
  </w:style>
  <w:style w:type="table" w:styleId="TableGrid">
    <w:name w:val="Table Grid"/>
    <w:basedOn w:val="TableNormal"/>
    <w:uiPriority w:val="59"/>
    <w:rsid w:val="00B2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78C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CA"/>
  </w:style>
  <w:style w:type="paragraph" w:styleId="Footer">
    <w:name w:val="footer"/>
    <w:basedOn w:val="Normal"/>
    <w:link w:val="FooterChar"/>
    <w:uiPriority w:val="99"/>
    <w:unhideWhenUsed/>
    <w:rsid w:val="000678C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8CA"/>
  </w:style>
  <w:style w:type="paragraph" w:styleId="FootnoteText">
    <w:name w:val="footnote text"/>
    <w:basedOn w:val="Normal"/>
    <w:link w:val="FootnoteTextChar"/>
    <w:uiPriority w:val="99"/>
    <w:semiHidden/>
    <w:unhideWhenUsed/>
    <w:rsid w:val="009901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1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01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4DF4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94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602B"/>
  </w:style>
  <w:style w:type="table" w:styleId="Tablaconcuadrcula">
    <w:name w:val="Table Grid"/>
    <w:basedOn w:val="Tablanormal"/>
    <w:uiPriority w:val="59"/>
    <w:rsid w:val="00B2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78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8CA"/>
  </w:style>
  <w:style w:type="paragraph" w:styleId="Piedepgina">
    <w:name w:val="footer"/>
    <w:basedOn w:val="Normal"/>
    <w:link w:val="PiedepginaCar"/>
    <w:uiPriority w:val="99"/>
    <w:unhideWhenUsed/>
    <w:rsid w:val="000678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8CA"/>
  </w:style>
  <w:style w:type="paragraph" w:styleId="Textonotapie">
    <w:name w:val="footnote text"/>
    <w:basedOn w:val="Normal"/>
    <w:link w:val="TextonotapieCar"/>
    <w:uiPriority w:val="99"/>
    <w:semiHidden/>
    <w:unhideWhenUsed/>
    <w:rsid w:val="009901C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01C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01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rlosbondone.com/en/theory-of-economic-time/aplication/subjective-and-solidarity-economic-theory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losbondon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6AA8-B05F-41D7-B8C2-542F4A70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GISELA GIARDINO</cp:lastModifiedBy>
  <cp:revision>19</cp:revision>
  <dcterms:created xsi:type="dcterms:W3CDTF">2018-10-08T14:10:00Z</dcterms:created>
  <dcterms:modified xsi:type="dcterms:W3CDTF">2019-03-25T17:03:00Z</dcterms:modified>
</cp:coreProperties>
</file>